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1201" w:rsidR="00F860D7" w:rsidP="2DF3F1FA" w:rsidRDefault="02ECCF3E" w14:paraId="43B4DCBD" w14:textId="2EA78940">
      <w:pPr>
        <w:jc w:val="center"/>
        <w:rPr>
          <w:rFonts w:ascii="Times New Roman" w:hAnsi="Times New Roman" w:cs="Times New Roman"/>
          <w:b/>
          <w:bCs/>
        </w:rPr>
      </w:pPr>
      <w:r>
        <w:rPr>
          <w:noProof/>
          <w:lang w:val="French"/>
        </w:rPr>
        <w:drawing>
          <wp:inline distT="0" distB="0" distL="0" distR="0" wp14:anchorId="632043CC" wp14:editId="67473CB9">
            <wp:extent cx="1541477" cy="857250"/>
            <wp:effectExtent l="0" t="0" r="0" b="0"/>
            <wp:docPr id="1798375960" name="Picture 179837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41477" cy="857250"/>
                    </a:xfrm>
                    <a:prstGeom prst="rect">
                      <a:avLst/>
                    </a:prstGeom>
                  </pic:spPr>
                </pic:pic>
              </a:graphicData>
            </a:graphic>
          </wp:inline>
        </w:drawing>
      </w:r>
    </w:p>
    <w:p w:rsidRPr="00681201" w:rsidR="00F860D7" w:rsidP="2DF3F1FA" w:rsidRDefault="37E3B518" w14:paraId="579070E3" w14:textId="74FEAA9F">
      <w:pPr>
        <w:spacing w:line="360" w:lineRule="auto"/>
        <w:ind w:left="-20" w:right="-20"/>
        <w:jc w:val="center"/>
        <w:rPr>
          <w:rFonts w:eastAsiaTheme="minorEastAsia"/>
          <w:b/>
          <w:bCs/>
          <w:color w:val="000000" w:themeColor="text1"/>
        </w:rPr>
      </w:pPr>
      <w:r w:rsidRPr="2DF3F1FA">
        <w:rPr>
          <w:rFonts w:eastAsiaTheme="minorEastAsia"/>
          <w:b/>
          <w:bCs/>
          <w:color w:val="000000" w:themeColor="text1"/>
          <w:lang w:val="French"/>
        </w:rPr>
        <w:t xml:space="preserve"> </w:t>
      </w:r>
    </w:p>
    <w:p w:rsidRPr="00681201" w:rsidR="00874205" w:rsidP="00874205" w:rsidRDefault="00874205" w14:paraId="530227D3" w14:textId="77777777">
      <w:pPr>
        <w:jc w:val="center"/>
      </w:pPr>
      <w:r w:rsidRPr="006E2807">
        <w:rPr>
          <w:sz w:val="44"/>
          <w:szCs w:val="44"/>
          <w:lang w:val="French"/>
        </w:rPr>
        <w:t>Les politiques des institutions financières internationales qui exacerbent la dette et les inégalités en Afrique : Promouvoir des perspectives communes de la société civile.</w:t>
      </w:r>
    </w:p>
    <w:p w:rsidR="00681201" w:rsidP="2DF3F1FA" w:rsidRDefault="10ACA0DA" w14:paraId="2621B840" w14:textId="79AED348">
      <w:pPr>
        <w:jc w:val="center"/>
        <w:rPr>
          <w:rFonts w:eastAsiaTheme="minorEastAsia"/>
          <w:b/>
          <w:bCs/>
        </w:rPr>
      </w:pPr>
      <w:r w:rsidRPr="2DF3F1FA">
        <w:rPr>
          <w:rFonts w:eastAsiaTheme="minorEastAsia"/>
          <w:b/>
          <w:bCs/>
          <w:lang w:val="French"/>
        </w:rPr>
        <w:t>NOTE CONCEPTUELLE DU WEBINAIRE - Moments de plaidoyer : Semaine de lutte contre les inégalités et Sommet du G77</w:t>
      </w:r>
    </w:p>
    <w:p w:rsidR="78D78E3C" w:rsidP="2DF3F1FA" w:rsidRDefault="78D78E3C" w14:paraId="1C2D3DEC" w14:textId="73CF2EC5">
      <w:pPr>
        <w:jc w:val="center"/>
        <w:rPr>
          <w:rFonts w:eastAsiaTheme="minorEastAsia"/>
          <w:b/>
          <w:bCs/>
        </w:rPr>
      </w:pPr>
      <w:r w:rsidRPr="2DF3F1FA">
        <w:rPr>
          <w:rFonts w:eastAsiaTheme="minorEastAsia"/>
          <w:b/>
          <w:bCs/>
          <w:lang w:val="French"/>
        </w:rPr>
        <w:t>Date : 18 janvier 2024</w:t>
      </w:r>
    </w:p>
    <w:p w:rsidR="0E9AC35E" w:rsidP="2DF3F1FA" w:rsidRDefault="69E69713" w14:paraId="188CDB98" w14:textId="001761B8">
      <w:pPr>
        <w:spacing w:line="276" w:lineRule="auto"/>
        <w:jc w:val="both"/>
        <w:rPr>
          <w:rFonts w:eastAsiaTheme="minorEastAsia"/>
          <w:b/>
          <w:bCs/>
        </w:rPr>
      </w:pPr>
      <w:r w:rsidRPr="2DF3F1FA">
        <w:rPr>
          <w:rFonts w:eastAsiaTheme="minorEastAsia"/>
          <w:b/>
          <w:bCs/>
          <w:lang w:val="French"/>
        </w:rPr>
        <w:t xml:space="preserve">Introduction - Dette et inégalités en Afrique </w:t>
      </w:r>
    </w:p>
    <w:p w:rsidR="79CF3029" w:rsidP="0A7E25D8" w:rsidRDefault="1B01C6A1" w14:paraId="09051DD5" w14:textId="1FF0E566">
      <w:pPr>
        <w:spacing w:line="276" w:lineRule="auto"/>
        <w:jc w:val="both"/>
        <w:rPr>
          <w:rFonts w:eastAsiaTheme="minorEastAsia"/>
        </w:rPr>
      </w:pPr>
      <w:r w:rsidRPr="0A7E25D8">
        <w:rPr>
          <w:rFonts w:eastAsiaTheme="minorEastAsia"/>
          <w:lang w:val="French"/>
        </w:rPr>
        <w:t xml:space="preserve">Les pays du Sud restent particulièrement vulnérables lorsqu'il s'agit de questions d'inégalité financière et économique. </w:t>
      </w:r>
      <w:hyperlink w:history="1" r:id="rId9">
        <w:r w:rsidRPr="00874205" w:rsidR="47CFB35E">
          <w:rPr>
            <w:rStyle w:val="Hyperlink"/>
            <w:rFonts w:eastAsiaTheme="minorEastAsia"/>
            <w:lang w:val="French"/>
          </w:rPr>
          <w:t>L'indice de Gini de la Banque mondiale</w:t>
        </w:r>
      </w:hyperlink>
      <w:r w:rsidRPr="0A7E25D8" w:rsidR="47CFB35E">
        <w:rPr>
          <w:rFonts w:eastAsiaTheme="minorEastAsia"/>
          <w:lang w:val="French"/>
        </w:rPr>
        <w:t xml:space="preserve"> souligne que le niveau d'inégalité des richesses en Afrique est le plus élevé après celui de la région Asie-Pacifique, à 89,2. Cet indicateur mesure le niveau d'écart de la répartition des revenus entre les ménages d'une économie par rapport à la répartition à partir d'une répartition parfaitement égale. </w:t>
      </w:r>
      <w:hyperlink w:history="1" r:id="rId10">
        <w:r w:rsidRPr="00874205" w:rsidR="6C521D76">
          <w:rPr>
            <w:rStyle w:val="Hyperlink"/>
            <w:rFonts w:eastAsiaTheme="minorEastAsia"/>
            <w:lang w:val="French"/>
          </w:rPr>
          <w:t xml:space="preserve">Le score varie entre 0 et 100, et</w:t>
        </w:r>
      </w:hyperlink>
      <w:r w:rsidRPr="2E12293C" w:rsidR="7DD775B8">
        <w:rPr>
          <w:rFonts w:eastAsiaTheme="minorEastAsia"/>
          <w:lang w:val="French"/>
        </w:rPr>
        <w:t xml:space="preserve"> plus le score est élevé, plus le niveau d'inégalité est élevé. Ce niveau alarmant d'inégalité a de multiples facettes et est affecté par divers facteurs interconnectés. </w:t>
      </w:r>
      <w:hyperlink w:history="1" r:id="rId11">
        <w:r w:rsidRPr="00874205" w:rsidR="47CFB35E">
          <w:rPr>
            <w:rStyle w:val="Hyperlink"/>
            <w:rFonts w:eastAsiaTheme="minorEastAsia"/>
            <w:lang w:val="French"/>
          </w:rPr>
          <w:t>Des recherches</w:t>
        </w:r>
      </w:hyperlink>
      <w:r w:rsidRPr="0A7E25D8" w:rsidR="47CFB35E">
        <w:rPr>
          <w:rFonts w:eastAsiaTheme="minorEastAsia"/>
          <w:lang w:val="French"/>
        </w:rPr>
        <w:t xml:space="preserve"> menées auprès d'un mélange de pays à faible revenu, à revenu intermédiaire de la tranche inférieure et à revenu intermédiaire de la tranche supérieure en Afrique, notamment le Botswana, le Ghana, le Kenya, le Lesotho, le Malawi, le Nigeria, le Rwanda, l'Afrique du Sud, la Tanzanie, l'Ouganda et la Zambie, démontrent qu'il existe une relation de cause à effet entre la dette et les inégalités. Un endettement insoutenable entraîne des contraintes de remboursement de la dette et détourne les recettes des mesures de protection sociale qui sont cruciales pour amortir les groupes à faible revenu. De plus, le service coûteux de la dette entrave la mobilisation des ressources intérieures, car les recettes sont utilisées pour rembourser les dettes, ce qui devient également une cause de diminution des dépenses sociales. Nous y reviendrons dans le paragraphe suivant. D'autres publications centrées sur le continent africain postulent qu'une augmentation de 1 % de la dette publique entraîne une augmentation des inégalités de 0,17 %, mais que ces effets doublent lorsque le ratio d'endettement public dépasse 57,47 %. De plus, </w:t>
      </w:r>
      <w:hyperlink w:history="1" r:id="rId12">
        <w:r w:rsidRPr="00874205" w:rsidR="47CFB35E">
          <w:rPr>
            <w:rStyle w:val="Hyperlink"/>
            <w:rFonts w:eastAsiaTheme="minorEastAsia"/>
            <w:lang w:val="French"/>
          </w:rPr>
          <w:t xml:space="preserve"> la pression fiscale du pays</w:t>
        </w:r>
      </w:hyperlink>
      <w:r w:rsidRPr="0A7E25D8" w:rsidR="47CFB35E">
        <w:rPr>
          <w:rFonts w:eastAsiaTheme="minorEastAsia"/>
          <w:lang w:val="French"/>
        </w:rPr>
        <w:t xml:space="preserve"> exacerbe l'effet de la dette publique et a un impact sur les inégalités. </w:t>
      </w:r>
    </w:p>
    <w:p w:rsidR="7EE19C2C" w:rsidP="0A7E25D8" w:rsidRDefault="7EE19C2C" w14:paraId="01377A59" w14:textId="01C8376D">
      <w:pPr>
        <w:spacing w:line="276" w:lineRule="auto"/>
        <w:jc w:val="both"/>
        <w:rPr>
          <w:rStyle w:val="FootnoteReference"/>
          <w:rFonts w:eastAsiaTheme="minorEastAsia"/>
        </w:rPr>
      </w:pPr>
      <w:r w:rsidRPr="0A7E25D8">
        <w:rPr>
          <w:rFonts w:eastAsiaTheme="minorEastAsia"/>
          <w:lang w:val="French"/>
        </w:rPr>
        <w:t xml:space="preserve">L'augmentation des niveaux d'endettement public s'accompagne d'obligations coûteuses en matière de service de la dette et d'éviction des dépenses sociales. Les taux de croissance économique modérés dus à des chocs, notamment la pandémie de COVID-19 et la guerre entre la Russie et l'Ukraine, ont encore affaibli la puissance budgétaire du continent africain. Dans la région de l'Afrique australe, </w:t>
      </w:r>
      <w:hyperlink w:history="1" r:id="rId13">
        <w:r w:rsidRPr="2E12293C">
          <w:rPr>
            <w:rStyle w:val="Hyperlink"/>
            <w:rFonts w:eastAsiaTheme="minorEastAsia"/>
            <w:lang w:val="French"/>
          </w:rPr>
          <w:t xml:space="preserve">une étude du Forum et réseau africain sur la dette et le développement (AFRODAD) a </w:t>
        </w:r>
      </w:hyperlink>
      <w:r w:rsidRPr="0A7E25D8">
        <w:rPr>
          <w:rFonts w:eastAsiaTheme="minorEastAsia"/>
          <w:lang w:val="French"/>
        </w:rPr>
        <w:t xml:space="preserve"> mis en évidence que la faiblesse des taux de croissance économique a déjà compromis – et continue de compromettre – la capacité fiscale et la capacité de charge de la dette des pays de la région. Il en résulte une baisse des recettes, des contraintes de remboursement de la dette ou un règlement des dettes à des niveaux irréalistes au détriment de la protection sociale. Les programmes de protection sociale permettent de redistribuer les revenus des groupes à revenu élevé vers les groupes à faible revenu. La diminution des investissements dans la protection sociale a un impact disproportionné sur les groupes à faible revenu et vulnérables en raison de leur dépendance à l'égard de la prestation de services sociaux. Cela devient donc un terreau fertile pour la faiblesse des capacités et la vulnérabilité accrue des citoyens ordinaires, en particulier ceux des groupes à revenu faible et moyen. </w:t>
      </w:r>
      <w:hyperlink w:history="1" r:id="rId14">
        <w:r w:rsidRPr="00874205">
          <w:rPr>
            <w:rStyle w:val="Hyperlink"/>
            <w:rFonts w:eastAsiaTheme="minorEastAsia"/>
            <w:lang w:val="French"/>
          </w:rPr>
          <w:t>L'étude</w:t>
        </w:r>
      </w:hyperlink>
      <w:r w:rsidRPr="0A7E25D8">
        <w:rPr>
          <w:rFonts w:eastAsiaTheme="minorEastAsia"/>
          <w:lang w:val="French"/>
        </w:rPr>
        <w:t xml:space="preserve"> a en outre noté qu'environ 55 % du revenu total dans les pays de la SADC est détenu par les 20 % les plus riches et 35 % par les 10 % les plus riches, les 20 % les plus pauvres ne possédant en moyenne que 6 % des revenus. Cette disparité de richesse reste répandue non seulement dans la région de l'Afrique australe, mais aussi sur l'ensemble du continent. </w:t>
      </w:r>
      <w:r w:rsidRPr="0074631D" w:rsidR="00F10D0A">
        <w:rPr>
          <w:rFonts w:eastAsiaTheme="minorEastAsia"/>
          <w:color w:val="0563C1"/>
          <w:lang w:val="French"/>
        </w:rPr>
        <w:t xml:space="preserve"/>
      </w:r>
      <w:hyperlink w:history="1" r:id="rId15">
        <w:r w:rsidRPr="00F10D0A" w:rsidR="54CCDEC4">
          <w:rPr>
            <w:rStyle w:val="Hyperlink"/>
            <w:rFonts w:eastAsiaTheme="minorEastAsia"/>
            <w:lang w:val="French"/>
          </w:rPr>
          <w:t xml:space="preserve">La Banque africaine de développement (BAD) a mis en évidence les </w:t>
        </w:r>
      </w:hyperlink>
      <w:r w:rsidRPr="2E12293C" w:rsidR="5726C014">
        <w:rPr>
          <w:rFonts w:eastAsiaTheme="minorEastAsia"/>
          <w:lang w:val="French"/>
        </w:rPr>
        <w:t xml:space="preserve"> fortes inégalités en Afrique à la suite d'une série d'événements historiques et rapporte également que les coefficients de Gini démontrent des inégalités élevées mais relativement stables pour le continent. </w:t>
      </w:r>
      <w:r w:rsidRPr="2E12293C" w:rsidR="4A01740A">
        <w:rPr>
          <w:rStyle w:val="FootnoteReference"/>
          <w:rFonts w:eastAsiaTheme="minorEastAsia"/>
          <w:vertAlign w:val="baseline"/>
          <w:lang w:val="French"/>
        </w:rPr>
        <w:t xml:space="preserve"/>
      </w:r>
      <w:hyperlink w:history="1" r:id="rId16">
        <w:r w:rsidRPr="00F10D0A" w:rsidR="4325F40B">
          <w:rPr>
            <w:rStyle w:val="Hyperlink"/>
            <w:rFonts w:eastAsiaTheme="minorEastAsia"/>
            <w:lang w:val="French"/>
          </w:rPr>
          <w:t xml:space="preserve">Une étude réalisée en 2021 par la BAD </w:t>
        </w:r>
      </w:hyperlink>
      <w:r w:rsidRPr="2E12293C" w:rsidR="4325F40B">
        <w:rPr>
          <w:rStyle w:val="FootnoteReference"/>
          <w:rFonts w:eastAsiaTheme="minorEastAsia"/>
          <w:vertAlign w:val="baseline"/>
          <w:lang w:val="French"/>
        </w:rPr>
        <w:t xml:space="preserve"> souligne qu'entre 1980 et 2017, les inégalités globales étaient d'environ 44 % - pendant cette période, environ 67 % du revenu total était détenu par les 10 % les plus riches de la population, tandis qu'environ 2,3 % était détenu par les 10 % de la population.</w:t>
      </w:r>
    </w:p>
    <w:p w:rsidR="7EE19C2C" w:rsidP="35AC2F2C" w:rsidRDefault="7EE19C2C" w14:paraId="5DAC4EE3" w14:textId="627EC900">
      <w:pPr>
        <w:spacing w:line="276" w:lineRule="auto"/>
        <w:jc w:val="both"/>
        <w:rPr>
          <w:rStyle w:val="Hyperlink"/>
          <w:rFonts w:eastAsiaTheme="minorEastAsia"/>
          <w:color w:val="0563C1"/>
          <w:vertAlign w:val="superscript"/>
        </w:rPr>
      </w:pPr>
      <w:r w:rsidRPr="35AC2F2C">
        <w:rPr>
          <w:rFonts w:eastAsiaTheme="minorEastAsia"/>
          <w:lang w:val="French"/>
        </w:rPr>
        <w:t>À la lumière de ce qui précède, il est impératif que les pays africains prennent des mesures pour renforcer la capacité de charge de l'impôt et de la dette afin de financer les régimes de protection sociale visant à réduire les inégalités. Parmi les mesures susceptibles d'aider les pays africains à atteindre cet objectif, on peut citer : l'introduction de l'impôt sur la fortune, la réduction des exonérations fiscales pour la taxe sur la valeur ajoutée (TVA) et les exonérations fiscales pour les entreprises étrangères, l'augmentation de la profondeur et de la couverture des taxes sur les transactions électroniques à la lumière de l'essor de l'économie numérique, la garantie que les systèmes fiscaux restent progressifs et l'augmentation de la progressivité de cette structure fiscale,  l'élargissement du niveau et de la couverture des dépenses sociales, accompagné de politiques du travail appropriées qui favorisent le personnel des ménages éloignés et pauvres, et l'amélioration des institutions grâce à la transparence en matière fiscale.</w:t>
      </w:r>
    </w:p>
    <w:p w:rsidR="7EE19C2C" w:rsidP="0A7E25D8" w:rsidRDefault="7EE19C2C" w14:paraId="7E0A15DB" w14:textId="14D55792">
      <w:pPr>
        <w:spacing w:line="276" w:lineRule="auto"/>
        <w:jc w:val="both"/>
        <w:rPr>
          <w:rFonts w:eastAsiaTheme="minorEastAsia"/>
        </w:rPr>
      </w:pPr>
      <w:r w:rsidRPr="35AC2F2C">
        <w:rPr>
          <w:rFonts w:eastAsiaTheme="minorEastAsia"/>
          <w:lang w:val="French"/>
        </w:rPr>
        <w:t xml:space="preserve">La complexité du phénomène de la dette et des inégalités ne s'arrête pas là compte tenu des graves conséquences des flux financiers illicites (FFI) sur la mobilisation des ressources intérieures dans les pays africains. Le continent perd au moins 88,6 milliards de dollars américains en FFI chaque année. Ces sorties de capitaux sont préjudiciables à la mobilisation des ressources intérieures car elles entraînent une perte de recettes fiscales, ce qui impose des contraintes aux gouvernements dans la fourniture de services publics et de protection sociale aux citoyens. Pour combler ce déficit de financement, les gouvernements ont recours à l'emprunt, ce qui alourdit le fardeau de la dette. Les dépenses coûteuses au titre du service de la dette ont à leur tour un impact négatif sur la mobilisation des ressources intérieures, ce qui conduit à un recours accru à l'endettement.  Il convient de noter que </w:t>
      </w:r>
      <w:hyperlink w:history="1" r:id="rId17">
        <w:r w:rsidRPr="00F10D0A">
          <w:rPr>
            <w:rStyle w:val="Hyperlink"/>
            <w:rFonts w:eastAsiaTheme="minorEastAsia"/>
            <w:lang w:val="French"/>
          </w:rPr>
          <w:t xml:space="preserve"> les FFI dépassent les dépenses nécessaires pour la santé et l'éducation </w:t>
        </w:r>
      </w:hyperlink>
      <w:r w:rsidRPr="35AC2F2C">
        <w:rPr>
          <w:rFonts w:eastAsiaTheme="minorEastAsia"/>
          <w:lang w:val="French"/>
        </w:rPr>
        <w:t xml:space="preserve"> dans la plupart des pays africains, ce qui a un impact disproportionné sur les groupes les plus vulnérables en raison de leur dépendance à l'égard de ces services publics. De plus, la perte de sites rouges par le biais des FFI entrave la réalisation des objectifs de l'Afrique dans le cadre de l'Agenda 2063 de l'Union africaine (UA).</w:t>
      </w:r>
      <w:proofErr w:type="spellStart"/>
      <w:proofErr w:type="spellEnd"/>
      <w:hyperlink w:history="1" r:id="rId18">
        <w:r w:rsidRPr="00F10D0A">
          <w:rPr>
            <w:rStyle w:val="Hyperlink"/>
            <w:rFonts w:eastAsiaTheme="minorEastAsia"/>
            <w:lang w:val="French"/>
          </w:rPr>
          <w:t xml:space="preserve"> Le rapport du Groupe de haut niveau sur les flux financiers illicites</w:t>
        </w:r>
      </w:hyperlink>
      <w:r w:rsidRPr="35AC2F2C">
        <w:rPr>
          <w:rFonts w:eastAsiaTheme="minorEastAsia"/>
          <w:lang w:val="French"/>
        </w:rPr>
        <w:t xml:space="preserve"> en provenance d'Afrique (surnommé le « rapport Mbeki ») a formulé des recommandations détaillées pour freiner les FFI qui ont été adoptées par les États membres de l'UA. La mise en œuvre de ces recommandations reste essentielle pour freiner les FFI en Afrique afin de stimuler les efforts de mobilisation des ressources nationales qui ont un impact à la fois sur les niveaux d'endettement et d'inégalité. Il convient de noter à ce stade que le secteur minier n'a pas réussi à échapper au filet des FFI</w:t>
      </w:r>
      <w:hyperlink w:history="1" r:id="rId19">
        <w:r w:rsidRPr="00F10D0A">
          <w:rPr>
            <w:rStyle w:val="Hyperlink"/>
            <w:rFonts w:eastAsiaTheme="minorEastAsia"/>
            <w:lang w:val="French"/>
          </w:rPr>
          <w:t>, les sorties de capitaux augmentant par le biais de la contrebande de ressources minérales et de la corruption,</w:t>
        </w:r>
      </w:hyperlink>
      <w:r w:rsidRPr="2E12293C">
        <w:rPr>
          <w:rFonts w:eastAsiaTheme="minorEastAsia"/>
          <w:lang w:val="French"/>
        </w:rPr>
        <w:t xml:space="preserve"> y compris par le biais de prêts adossés à des ressources (RBL). Bien que le secteur extractif joue un rôle important dans la réduction de la dette et des inégalités, il est vulnérable non seulement aux FFI, mais aussi à une mauvaise gouvernance des ressources, ce qui crée un déficit de financement en drainant les ressources. Il en résulte un affaiblissement de la mobilisation des ressources intérieures et une dépendance accrue à l'égard de l'emprunt, ce qui se traduit par un fardeau de la dette insoutenable et une augmentation des inégalités, comme indiqué ci-dessus. Cette situation est particulièrement alarmante dans les pays africains riches en ressources naturelles, qui sont en proie à la malédiction des ressources ou au paradoxe de l'abondance, ainsi qu'aux RBL, en raison desquels les bénéfices du secteur extractif ne parviennent souvent pas aux secteurs pauvres et vulnérables de la société, ce qui creuse encore les disparités de richesse. Les RBL sont l'un des aspects d'une mauvaise gouvernance des ressources minérales : la manière dont elles sont négociées, conclues, mises en œuvre et remboursées minimise leur potentiel de contribution à la mobilisation des ressources intérieures, ce qui entraîne une augmentation des emprunts et un lourd endettement qui aggravent souvent les inégalités. Il est donc essentiel de prendre les mesures nécessaires pour maximiser les avantages de ce secteur. L'une de ces mesures consiste à intégrer la justice fiscale, par exemple en supprimant les incitations fiscales, afin d'éviter que les inégalités ne se perpétuent par le biais de fuites de ressources par le biais d'incitations, car ces ressources peuvent être affectées à la réduction des niveaux d'endettement et à l'augmentation des dépenses sociales. En outre, la situation exige une transparence et une responsabilité accrues, la mise en œuvre des normes de l'Initiative pour la transparence dans les industries extractives (ITIE), des réformes fiscales progressives et la formulation de plans de dépenses de prêts. En ce qui concerne les RBL en particulier, les recommandations suivantes constituent des solutions potentielles : réformer les cadres juridiques nationaux afin de prévoir spécifiquement les RBL, renforcer les compétences de négociation des pays dans les transactions RBL, se conformer aux lois sur la gestion des finances publiques et les marchés publics, et cibler les financiers concessionnels plutôt que commerciaux dans les RBL.</w:t>
      </w:r>
      <w:r w:rsidRPr="2E12293C">
        <w:rPr>
          <w:rFonts w:eastAsiaTheme="minorEastAsia"/>
          <w:color w:val="0563C1"/>
          <w:vertAlign w:val="superscript"/>
          <w:lang w:val="French"/>
        </w:rPr>
        <w:t xml:space="preserve"/>
      </w:r>
    </w:p>
    <w:p w:rsidR="70A0CF00" w:rsidP="2DF3F1FA" w:rsidRDefault="70A0CF00" w14:paraId="2F6A4D0C" w14:textId="32179F4D">
      <w:pPr>
        <w:spacing w:line="276" w:lineRule="auto"/>
        <w:jc w:val="both"/>
        <w:rPr>
          <w:rFonts w:eastAsiaTheme="minorEastAsia"/>
          <w:b/>
          <w:bCs/>
          <w:color w:val="000000" w:themeColor="text1"/>
        </w:rPr>
      </w:pPr>
      <w:r w:rsidRPr="2DF3F1FA">
        <w:rPr>
          <w:rFonts w:eastAsiaTheme="minorEastAsia"/>
          <w:b/>
          <w:bCs/>
          <w:color w:val="000000" w:themeColor="text1"/>
          <w:lang w:val="French"/>
        </w:rPr>
        <w:t xml:space="preserve"> Les politiques de gestion de la dette des IFI et des groupes multilatéraux, dans un contexte d'inégalités et de crises multiples</w:t>
      </w:r>
    </w:p>
    <w:p w:rsidR="1C42819F" w:rsidP="0074631D" w:rsidRDefault="1C42819F" w14:paraId="6D29FECD" w14:textId="1CB46379">
      <w:pPr>
        <w:spacing w:before="240" w:after="240" w:line="276" w:lineRule="auto"/>
        <w:ind w:left="-20" w:right="-20"/>
        <w:jc w:val="both"/>
        <w:rPr>
          <w:rFonts w:eastAsiaTheme="minorEastAsia"/>
          <w:color w:val="000000" w:themeColor="text1"/>
        </w:rPr>
      </w:pPr>
      <w:r w:rsidRPr="0A7E25D8">
        <w:rPr>
          <w:rFonts w:eastAsiaTheme="minorEastAsia"/>
          <w:color w:val="000000" w:themeColor="text1"/>
          <w:lang w:val="French"/>
        </w:rPr>
        <w:t>Au cours des dernières décennies, la dette publique des pays africains a considérablement augmenté, quel que soit leur niveau de revenu. L'augmentation du niveau de la dette publique a soulevé des inquiétudes quant aux politiques de gestion de la dette des principales institutions financières internationales et d'autres groupes multilatéraux, ainsi qu'à leur contribution présumée à la gestion de la dette naissante de l'Afrique. De même, l'augmentation du niveau d'endettement insoutenable de l'Afrique a attiré l'attention sur la qualité de la gestion de la dette publique et sur l'efficacité des marchés de la dette intérieure à réduire la vulnérabilité financière.</w:t>
      </w:r>
    </w:p>
    <w:p w:rsidR="1C42819F" w:rsidP="0074631D" w:rsidRDefault="1C42819F" w14:paraId="596A1ACF" w14:textId="1134DF7C">
      <w:pPr>
        <w:spacing w:line="276" w:lineRule="auto"/>
        <w:ind w:left="-20" w:right="-20"/>
        <w:jc w:val="both"/>
        <w:rPr>
          <w:rFonts w:eastAsiaTheme="minorEastAsia"/>
          <w:color w:val="000000" w:themeColor="text1"/>
        </w:rPr>
      </w:pPr>
      <w:r w:rsidRPr="0A7E25D8">
        <w:rPr>
          <w:rFonts w:eastAsiaTheme="minorEastAsia"/>
          <w:color w:val="000000" w:themeColor="text1"/>
          <w:lang w:val="French"/>
        </w:rPr>
        <w:t xml:space="preserve">Cependant, la communauté internationale, principalement le Comité du développement de la Banque mondiale et le G20 Finance, a proposé deux initiatives, l'Initiative de suspension du service de la dette (ISSD) en avril 2020 et le Cadre commun en novembre 2020 pour les pays dont la dette est insoutenable. L'Initiative de suspension du service de la dette a permis de dispenser certains pays d'effectuer des paiements au titre du service de la dette sur les prêts bilatéraux, en particulier les prêts dus aux pays du G20, jusqu'à la fin de 2021. Le Cadre commun offrait aux pays gravement endettés la possibilité de rééchelonner la dette due aux créanciers bilatéraux, mais des appels ont été lancés en faveur d'une refonte du Cadre commun afin d'en améliorer l'efficacité, de fixer des calendriers clairs et d'assurer la transparence. </w:t>
      </w:r>
    </w:p>
    <w:p w:rsidR="1C42819F" w:rsidP="0074631D" w:rsidRDefault="1C42819F" w14:paraId="3B10A7CD" w14:textId="421EEB51">
      <w:pPr>
        <w:spacing w:before="240" w:after="240" w:line="276" w:lineRule="auto"/>
        <w:ind w:left="-20" w:right="-20"/>
        <w:jc w:val="both"/>
        <w:rPr>
          <w:rFonts w:eastAsiaTheme="minorEastAsia"/>
          <w:color w:val="000000" w:themeColor="text1"/>
        </w:rPr>
      </w:pPr>
      <w:r w:rsidRPr="0A7E25D8">
        <w:rPr>
          <w:rFonts w:eastAsiaTheme="minorEastAsia"/>
          <w:color w:val="000000" w:themeColor="text1"/>
          <w:lang w:val="French"/>
        </w:rPr>
        <w:t xml:space="preserve">Malgré les initiatives de gestion de la dette prises par plusieurs institutions financières internationales et groupes multilatéraux pour les économies africaines, les défis liés à la dette sont plus prononcés aujourd'hui qu'il y a vingt ans, comme en témoignent l'aggravation des risques de stress lié à la dette et la détérioration de la notation de crédit.  Par conséquent, environ </w:t>
      </w:r>
      <w:hyperlink r:id="rId20">
        <w:r w:rsidRPr="00F10D0A">
          <w:rPr>
            <w:rStyle w:val="Hyperlink"/>
            <w:rFonts w:eastAsiaTheme="minorEastAsia"/>
            <w:lang w:val="French"/>
          </w:rPr>
          <w:t>34</w:t>
        </w:r>
      </w:hyperlink>
      <w:r w:rsidRPr="00F10D0A">
        <w:rPr>
          <w:rStyle w:val="Hyperlink"/>
          <w:lang w:val="French"/>
        </w:rPr>
        <w:t xml:space="preserve"> </w:t>
      </w:r>
      <w:r w:rsidRPr="0A7E25D8">
        <w:rPr>
          <w:rFonts w:eastAsiaTheme="minorEastAsia"/>
          <w:color w:val="000000" w:themeColor="text1"/>
          <w:lang w:val="French"/>
        </w:rPr>
        <w:t xml:space="preserve"> % des jeunes employés (15-24 ans) vivent en dessous de 1,90 dollar, qui est le seuil de pauvreté international, tandis que pour le groupe d'âge des 25-64 ans, 26 </w:t>
      </w:r>
      <w:hyperlink r:id="rId21">
        <w:r w:rsidRPr="00F10D0A">
          <w:rPr>
            <w:rStyle w:val="Hyperlink"/>
            <w:rFonts w:eastAsiaTheme="minorEastAsia"/>
            <w:lang w:val="French"/>
          </w:rPr>
          <w:t xml:space="preserve">% </w:t>
        </w:r>
      </w:hyperlink>
      <w:r w:rsidRPr="00F10D0A">
        <w:rPr>
          <w:rStyle w:val="Hyperlink"/>
          <w:lang w:val="French"/>
        </w:rPr>
        <w:t xml:space="preserve"> </w:t>
      </w:r>
      <w:r w:rsidRPr="0A7E25D8">
        <w:rPr>
          <w:rFonts w:eastAsiaTheme="minorEastAsia"/>
          <w:color w:val="000000" w:themeColor="text1"/>
          <w:lang w:val="French"/>
        </w:rPr>
        <w:t xml:space="preserve">des actifs actifs vivent en dessous du seuil de pauvreté international. Dans tous les pays africains, ce sont les plus riches qui captent la plus grande part des revenus. Mesurées à l'aune de la part des revenus qui revient aux plus pauvres, les inégalités sont frappantes et s'accompagnent de disparités géographiques entre les zones urbaines et rurales où se concentrent les pauvres. L'Afrique du Sud avait </w:t>
      </w:r>
      <w:hyperlink r:id="rId22">
        <w:r w:rsidRPr="00F10D0A">
          <w:rPr>
            <w:rStyle w:val="Hyperlink"/>
            <w:rFonts w:eastAsiaTheme="minorEastAsia"/>
            <w:lang w:val="French"/>
          </w:rPr>
          <w:t xml:space="preserve"> le coefficient de Gini le plus élevé </w:t>
        </w:r>
      </w:hyperlink>
      <w:r w:rsidRPr="00F10D0A">
        <w:rPr>
          <w:rStyle w:val="Hyperlink"/>
          <w:lang w:val="French"/>
        </w:rPr>
        <w:t xml:space="preserve"> </w:t>
      </w:r>
      <w:r w:rsidRPr="0A7E25D8">
        <w:rPr>
          <w:rFonts w:eastAsiaTheme="minorEastAsia"/>
          <w:color w:val="000000" w:themeColor="text1"/>
          <w:lang w:val="French"/>
        </w:rPr>
        <w:t>à 63,0 %, ce qui suggère une disparité extrême des revenus et des richesses au sein du pays. La Namibie, le Suriname, la Zambie et Sao Tomé-et-Principe suivent de près avec des pourcentages supérieurs à 56 %.</w:t>
      </w:r>
    </w:p>
    <w:p w:rsidRPr="0074631D" w:rsidR="0074631D" w:rsidP="0074631D" w:rsidRDefault="1C42819F" w14:paraId="0012E5BC" w14:textId="759D8F8F">
      <w:pPr>
        <w:spacing w:line="276" w:lineRule="auto"/>
        <w:ind w:left="-20" w:right="-20"/>
        <w:jc w:val="both"/>
      </w:pPr>
      <w:r w:rsidRPr="0A7E25D8">
        <w:rPr>
          <w:rFonts w:eastAsiaTheme="minorEastAsia"/>
          <w:color w:val="000000" w:themeColor="text1"/>
          <w:lang w:val="French"/>
        </w:rPr>
        <w:t xml:space="preserve">Les résultats de l'utilisation des différentes politiques de gestion des groupes multilatéraux n'ont pas empêché la résurgence de la crise de la dette africaine à des niveaux de développement encore faibles et dans la lutte contre les inégalités économiques. Depuis le premier processus de restructuration de la dette à grande échelle (PPTE et IADM), la dette publique des pays africains a grimpé, </w:t>
      </w:r>
      <w:hyperlink r:id="rId23">
        <w:r w:rsidRPr="00F10D0A">
          <w:rPr>
            <w:rStyle w:val="Hyperlink"/>
            <w:rFonts w:eastAsiaTheme="minorEastAsia"/>
            <w:lang w:val="French"/>
          </w:rPr>
          <w:t xml:space="preserve"> atteignant 1 130 milliards de dollars en 2023 contre 233 milliards de dollars en</w:t>
        </w:r>
      </w:hyperlink>
      <w:r w:rsidRPr="00F10D0A">
        <w:rPr>
          <w:rStyle w:val="Hyperlink"/>
          <w:lang w:val="French"/>
        </w:rPr>
        <w:t xml:space="preserve"> </w:t>
      </w:r>
      <w:r w:rsidRPr="0A7E25D8">
        <w:rPr>
          <w:rFonts w:eastAsiaTheme="minorEastAsia"/>
          <w:color w:val="000000" w:themeColor="text1"/>
          <w:lang w:val="French"/>
        </w:rPr>
        <w:t xml:space="preserve">2010. Les </w:t>
      </w:r>
      <w:r w:rsidR="0074631D">
        <w:rPr>
          <w:lang w:val="French"/>
        </w:rPr>
        <w:t xml:space="preserve">politiques des IFI sont mal orientées vers la nature du problème de l'endettement récurrent en raison de l'architecture financière internationale qui est conçue pour drainer plutôt que distribuer équitablement les richesses pour les pays du Nord et du Sud.</w:t>
      </w:r>
    </w:p>
    <w:p w:rsidRPr="00812315" w:rsidR="0074631D" w:rsidP="00812315" w:rsidRDefault="1C42819F" w14:paraId="75736826" w14:textId="5A9C430E">
      <w:pPr>
        <w:jc w:val="both"/>
        <w:rPr>
          <w:color w:val="000000" w:themeColor="text1"/>
          <w:u w:val="single"/>
        </w:rPr>
      </w:pPr>
      <w:r w:rsidRPr="0A7E25D8">
        <w:rPr>
          <w:rFonts w:eastAsiaTheme="minorEastAsia"/>
          <w:color w:val="000000" w:themeColor="text1"/>
          <w:lang w:val="French"/>
        </w:rPr>
        <w:t xml:space="preserve">Selon les dernières données de la Banque mondiale, </w:t>
      </w:r>
      <w:hyperlink w:anchor=":~:text=The%20latest%20estimates%20show%20that%20the%20regional%20poverty,for%20two-thirds%20of%20the%20global%20extreme%20poor%20population." r:id="rId24">
        <w:r w:rsidRPr="00F10D0A">
          <w:rPr>
            <w:rStyle w:val="Hyperlink"/>
            <w:rFonts w:eastAsiaTheme="minorEastAsia"/>
            <w:lang w:val="French"/>
          </w:rPr>
          <w:t>41 % de la population d'Afrique subsaharienne</w:t>
        </w:r>
      </w:hyperlink>
      <w:r w:rsidRPr="0A7E25D8">
        <w:rPr>
          <w:rFonts w:eastAsiaTheme="minorEastAsia"/>
          <w:color w:val="000000" w:themeColor="text1"/>
          <w:lang w:val="French"/>
        </w:rPr>
        <w:t xml:space="preserve"> vit dans un dénuement absolu, en dessous du seuil de pauvreté de 1,90 dollar. Dans le même temps, on estime que 87 % des pauvres dans le monde seront concentrés en Afrique subsaharienne d'ici 2030 si les tendances économiques actuelles se poursuivent dans le cadre des politiques actuelles en matière d'IFI et de dette multilatérale.  </w:t>
      </w:r>
      <w:r w:rsidRPr="00B167EC" w:rsidR="00812315">
        <w:rPr>
          <w:color w:val="000000" w:themeColor="text1"/>
          <w:lang w:val="French"/>
        </w:rPr>
        <w:t xml:space="preserve">AFRODAD a toujours fait pression pour des approches alternatives à ces politiques fragmentées, y compris la résolution d'initier des processus vers une architecture financière mondiale réformée, comme le souligne la </w:t>
      </w:r>
      <w:hyperlink w:history="1" r:id="rId25">
        <w:r w:rsidRPr="00F10D0A" w:rsidR="00812315">
          <w:rPr>
            <w:rStyle w:val="Hyperlink"/>
            <w:rFonts w:eastAsiaTheme="minorEastAsia"/>
            <w:lang w:val="French"/>
          </w:rPr>
          <w:t>Déclaration de Harare</w:t>
        </w:r>
        <w:r w:rsidRPr="00F10D0A" w:rsidR="00812315">
          <w:rPr>
            <w:rStyle w:val="Hyperlink"/>
            <w:lang w:val="French"/>
          </w:rPr>
          <w:t>.</w:t>
        </w:r>
      </w:hyperlink>
      <w:r w:rsidRPr="00B167EC" w:rsidR="00812315">
        <w:rPr>
          <w:color w:val="000000" w:themeColor="text1"/>
          <w:lang w:val="French"/>
        </w:rPr>
        <w:t xml:space="preserve"> En ce qui concerne les inégalités, nous recommandons le renforcement de la gouvernance de la dette afin d'accroître la transparence et la redevabilité avec une volonté politique qui favorise la mise en œuvre des propositions de politique de la dette telles qu'elles sont inscrites dans la </w:t>
      </w:r>
      <w:hyperlink w:history="1" r:id="rId26">
        <w:r w:rsidRPr="00F10D0A" w:rsidR="00812315">
          <w:rPr>
            <w:rStyle w:val="Hyperlink"/>
            <w:rFonts w:eastAsiaTheme="minorEastAsia"/>
            <w:lang w:val="French"/>
          </w:rPr>
          <w:t>Charte africaine d'emprunt.</w:t>
        </w:r>
      </w:hyperlink>
      <w:r w:rsidRPr="00F10D0A" w:rsidR="00F10D0A">
        <w:rPr>
          <w:rStyle w:val="Hyperlink"/>
          <w:color w:val="000000" w:themeColor="text1"/>
          <w:u w:val="none"/>
          <w:lang w:val="French"/>
        </w:rPr>
        <w:t xml:space="preserve"> Enfin, </w:t>
      </w:r>
      <w:r w:rsidRPr="00B167EC" w:rsidR="00812315">
        <w:rPr>
          <w:color w:val="000000" w:themeColor="text1"/>
          <w:lang w:val="French"/>
        </w:rPr>
        <w:t>il est fondamental que les économies en développement et l'économie mondiale travaillent en étroite collaboration avec les OSC afin de soutenir le plaidoyer en faveur d'une architecture mondiale réformée qui renforcera les politiques d'endettement en faveur de l'Afrique que nous voulons. Ces initiatives contribueront également à faire progresser la nécessité de résolutions d'anticipation du G-77 et le processus de lutte contre les inégalités dans les pays du Sud.</w:t>
      </w:r>
    </w:p>
    <w:p w:rsidR="43DEE57B" w:rsidP="2DF3F1FA" w:rsidRDefault="43DEE57B" w14:paraId="3C3993AF" w14:textId="3C0415FA">
      <w:pPr>
        <w:spacing w:line="276" w:lineRule="auto"/>
        <w:jc w:val="both"/>
        <w:rPr>
          <w:rFonts w:eastAsiaTheme="minorEastAsia"/>
        </w:rPr>
      </w:pPr>
      <w:r w:rsidRPr="2DF3F1FA">
        <w:rPr>
          <w:rFonts w:eastAsiaTheme="minorEastAsia"/>
          <w:b/>
          <w:bCs/>
          <w:lang w:val="French"/>
        </w:rPr>
        <w:t>Objectifs</w:t>
      </w:r>
    </w:p>
    <w:p w:rsidR="007428FF" w:rsidP="007428FF" w:rsidRDefault="676C5807" w14:paraId="74EB2AB5" w14:textId="18128D50">
      <w:pPr>
        <w:spacing w:line="276" w:lineRule="auto"/>
        <w:jc w:val="both"/>
        <w:rPr>
          <w:rFonts w:eastAsiaTheme="minorEastAsia"/>
        </w:rPr>
      </w:pPr>
      <w:r w:rsidRPr="007428FF">
        <w:rPr>
          <w:rFonts w:eastAsiaTheme="minorEastAsia"/>
          <w:lang w:val="French"/>
        </w:rPr>
        <w:t>Dans le contexte ci-dessus, ce webinaire vise principalement à fournir une plate-forme pour approfondir les nuances entre la dette et les inégalités en Afrique et pour réexaminer le rôle, les politiques et la place des IFI et des groupes multilatéraux dans la résolution de ces problèmes au milieu des multiples défis qui se déploient et pour trouver des positions communes de la société civile pour plaider en faveur de politiques adéquates qui peuvent apporter des solutions permanentes aux problèmes croissants de la dette de l'Afrique dans un contexte d'inégalités croissantes sur le continent.  Plus précisément, le webinaire :</w:t>
      </w:r>
    </w:p>
    <w:p w:rsidRPr="007428FF" w:rsidR="099E78BB" w:rsidP="007428FF" w:rsidRDefault="099E78BB" w14:paraId="2436C41A" w14:textId="4BAE3319">
      <w:pPr>
        <w:pStyle w:val="ListParagraph"/>
        <w:numPr>
          <w:ilvl w:val="0"/>
          <w:numId w:val="6"/>
        </w:numPr>
        <w:spacing w:line="276" w:lineRule="auto"/>
        <w:jc w:val="both"/>
        <w:rPr>
          <w:rFonts w:eastAsiaTheme="minorEastAsia"/>
        </w:rPr>
      </w:pPr>
      <w:r w:rsidRPr="007428FF">
        <w:rPr>
          <w:rFonts w:eastAsiaTheme="minorEastAsia"/>
          <w:lang w:val="French"/>
        </w:rPr>
        <w:t xml:space="preserve">Discuter du lien entre la dette et les inégalités, à la lumière de facteurs tels que les FFI et la mobilisation des ressources intérieures ;</w:t>
      </w:r>
    </w:p>
    <w:p w:rsidRPr="007428FF" w:rsidR="2729B8CF" w:rsidP="007428FF" w:rsidRDefault="2729B8CF" w14:paraId="6B5629B7" w14:textId="203C3BAF">
      <w:pPr>
        <w:pStyle w:val="ListParagraph"/>
        <w:numPr>
          <w:ilvl w:val="0"/>
          <w:numId w:val="6"/>
        </w:numPr>
        <w:spacing w:line="276" w:lineRule="auto"/>
        <w:jc w:val="both"/>
        <w:rPr>
          <w:rFonts w:eastAsiaTheme="minorEastAsia"/>
        </w:rPr>
      </w:pPr>
      <w:r w:rsidRPr="007428FF">
        <w:rPr>
          <w:rFonts w:eastAsiaTheme="minorEastAsia"/>
          <w:lang w:val="French"/>
        </w:rPr>
        <w:t>Explorer le lien entre les politiques de gestion de la dette des IFI et du Groupe multilatéral et les inégalités en Afrique et dans les pays du Sud dans leur ensemble ;</w:t>
      </w:r>
    </w:p>
    <w:p w:rsidRPr="007428FF" w:rsidR="4B0F8375" w:rsidP="007428FF" w:rsidRDefault="4B0F8375" w14:paraId="3761472A" w14:textId="0DFB1217">
      <w:pPr>
        <w:pStyle w:val="ListParagraph"/>
        <w:numPr>
          <w:ilvl w:val="0"/>
          <w:numId w:val="6"/>
        </w:numPr>
        <w:spacing w:line="276" w:lineRule="auto"/>
        <w:jc w:val="both"/>
        <w:rPr>
          <w:rFonts w:eastAsiaTheme="minorEastAsia"/>
        </w:rPr>
      </w:pPr>
      <w:r w:rsidRPr="007428FF">
        <w:rPr>
          <w:rFonts w:eastAsiaTheme="minorEastAsia"/>
          <w:lang w:val="French"/>
        </w:rPr>
        <w:t>Examiner l'efficacité des solutions mises en évidence pour résoudre le problème à multiples facettes ;</w:t>
      </w:r>
    </w:p>
    <w:p w:rsidRPr="007428FF" w:rsidR="4B0F8375" w:rsidP="007428FF" w:rsidRDefault="4B0F8375" w14:paraId="40C58B83" w14:textId="333B75A7">
      <w:pPr>
        <w:pStyle w:val="ListParagraph"/>
        <w:numPr>
          <w:ilvl w:val="0"/>
          <w:numId w:val="6"/>
        </w:numPr>
        <w:spacing w:line="276" w:lineRule="auto"/>
        <w:jc w:val="both"/>
        <w:rPr>
          <w:rFonts w:eastAsiaTheme="minorEastAsia"/>
        </w:rPr>
      </w:pPr>
      <w:r w:rsidRPr="007428FF">
        <w:rPr>
          <w:rFonts w:eastAsiaTheme="minorEastAsia"/>
          <w:lang w:val="French"/>
        </w:rPr>
        <w:t xml:space="preserve">Explorer les solutions africaines sous l'angle des finances publiques, en particulier du point de vue de la dette et de la mobilisation des ressources intérieures, face à l'énigme des inégalités en Afrique.</w:t>
      </w:r>
    </w:p>
    <w:p w:rsidRPr="007428FF" w:rsidR="24CFE912" w:rsidP="007428FF" w:rsidRDefault="24CFE912" w14:paraId="2E15018B" w14:textId="207A231F">
      <w:pPr>
        <w:pStyle w:val="ListParagraph"/>
        <w:numPr>
          <w:ilvl w:val="0"/>
          <w:numId w:val="6"/>
        </w:numPr>
        <w:spacing w:line="276" w:lineRule="auto"/>
        <w:jc w:val="both"/>
        <w:rPr>
          <w:rFonts w:eastAsiaTheme="minorEastAsia"/>
        </w:rPr>
      </w:pPr>
      <w:r w:rsidRPr="007428FF">
        <w:rPr>
          <w:rFonts w:eastAsiaTheme="minorEastAsia"/>
          <w:lang w:val="French"/>
        </w:rPr>
        <w:t>Construire des positions communes de plaidoyer pour plaider en faveur de mécanismes justes et transparents pour faire face à l'endettement récurrent et aux inégalités de l'Afrique</w:t>
      </w:r>
    </w:p>
    <w:p w:rsidR="3A64CDA6" w:rsidP="0074631D" w:rsidRDefault="3A64CDA6" w14:paraId="52B94FAB" w14:textId="72E5D574">
      <w:pPr>
        <w:spacing w:line="276" w:lineRule="auto"/>
        <w:ind w:left="-20" w:right="-20"/>
        <w:jc w:val="both"/>
      </w:pPr>
      <w:r w:rsidRPr="0A7E25D8">
        <w:rPr>
          <w:rFonts w:ascii="Calibri" w:hAnsi="Calibri" w:eastAsia="Calibri" w:cs="Calibri"/>
          <w:b/>
          <w:bCs/>
          <w:color w:val="000000" w:themeColor="text1"/>
          <w:lang w:val="French"/>
        </w:rPr>
        <w:t>Résultat attendu</w:t>
      </w:r>
    </w:p>
    <w:p w:rsidR="3A64CDA6" w:rsidP="0074631D" w:rsidRDefault="3A64CDA6" w14:paraId="445DD296" w14:textId="4436B47D">
      <w:pPr>
        <w:pStyle w:val="ListParagraph"/>
        <w:numPr>
          <w:ilvl w:val="0"/>
          <w:numId w:val="1"/>
        </w:numPr>
        <w:spacing w:after="0" w:line="276" w:lineRule="auto"/>
        <w:jc w:val="both"/>
        <w:rPr>
          <w:rFonts w:ascii="Calibri" w:hAnsi="Calibri" w:eastAsia="Calibri" w:cs="Calibri"/>
        </w:rPr>
      </w:pPr>
      <w:r w:rsidRPr="0A7E25D8">
        <w:rPr>
          <w:rFonts w:ascii="Calibri" w:hAnsi="Calibri" w:eastAsia="Calibri" w:cs="Calibri"/>
          <w:lang w:val="French"/>
        </w:rPr>
        <w:t>Examen minutieux de l'effet des politiques de gestion de la dette utilisées par les IFI et les groupes multilatéraux, avant, pendant et après la crise, sur l'accroissement des inégalités en Afrique</w:t>
      </w:r>
    </w:p>
    <w:p w:rsidR="3A64CDA6" w:rsidP="0074631D" w:rsidRDefault="3A64CDA6" w14:paraId="5F9A7279" w14:textId="2B3358CF">
      <w:pPr>
        <w:pStyle w:val="ListParagraph"/>
        <w:numPr>
          <w:ilvl w:val="0"/>
          <w:numId w:val="1"/>
        </w:numPr>
        <w:spacing w:after="0" w:line="276" w:lineRule="auto"/>
        <w:jc w:val="both"/>
        <w:rPr>
          <w:rFonts w:ascii="Calibri" w:hAnsi="Calibri" w:eastAsia="Calibri" w:cs="Calibri"/>
        </w:rPr>
      </w:pPr>
      <w:r w:rsidRPr="0A7E25D8">
        <w:rPr>
          <w:rFonts w:ascii="Calibri" w:hAnsi="Calibri" w:eastAsia="Calibri" w:cs="Calibri"/>
          <w:lang w:val="French"/>
        </w:rPr>
        <w:t>Une position commune des OSC du Sud, en particulier une position africaine sur l'effet des IFI et des groupes multilatéraux dans la lutte contre les inégalités en Afrique et dans les pays du Sud</w:t>
      </w:r>
    </w:p>
    <w:p w:rsidR="3A64CDA6" w:rsidP="0074631D" w:rsidRDefault="3A64CDA6" w14:paraId="2412DCE7" w14:textId="40D4E914">
      <w:pPr>
        <w:pStyle w:val="ListParagraph"/>
        <w:numPr>
          <w:ilvl w:val="0"/>
          <w:numId w:val="1"/>
        </w:numPr>
        <w:spacing w:after="0" w:line="276" w:lineRule="auto"/>
        <w:jc w:val="both"/>
        <w:rPr>
          <w:rFonts w:ascii="Calibri" w:hAnsi="Calibri" w:eastAsia="Calibri" w:cs="Calibri"/>
          <w:color w:val="000000" w:themeColor="text1"/>
        </w:rPr>
      </w:pPr>
      <w:r w:rsidRPr="0A7E25D8">
        <w:rPr>
          <w:rFonts w:ascii="Calibri" w:hAnsi="Calibri" w:eastAsia="Calibri" w:cs="Calibri"/>
          <w:lang w:val="French"/>
        </w:rPr>
        <w:t xml:space="preserve">Recommandation(s) alternative(s) qui explore </w:t>
      </w:r>
      <w:r w:rsidRPr="0A7E25D8">
        <w:rPr>
          <w:rFonts w:ascii="Calibri" w:hAnsi="Calibri" w:eastAsia="Calibri" w:cs="Calibri"/>
          <w:color w:val="000000" w:themeColor="text1"/>
          <w:lang w:val="French"/>
        </w:rPr>
        <w:t xml:space="preserve"> l'optique budgétaire, en particulier </w:t>
      </w:r>
      <w:r w:rsidRPr="0A7E25D8">
        <w:rPr>
          <w:rFonts w:ascii="Calibri" w:hAnsi="Calibri" w:eastAsia="Calibri" w:cs="Calibri"/>
          <w:lang w:val="French"/>
        </w:rPr>
        <w:t>du point de vue de la dette et de la mobilisation des ressources intérieures, à l'énigme des inégalités en Afrique.</w:t>
      </w:r>
    </w:p>
    <w:p w:rsidR="2DF3F1FA" w:rsidP="2DF3F1FA" w:rsidRDefault="2DF3F1FA" w14:paraId="3532640D" w14:textId="3D1BABBA">
      <w:pPr>
        <w:spacing w:line="276" w:lineRule="auto"/>
        <w:jc w:val="both"/>
        <w:rPr>
          <w:rFonts w:eastAsiaTheme="minorEastAsia"/>
        </w:rPr>
      </w:pPr>
    </w:p>
    <w:p w:rsidR="2DF3F1FA" w:rsidP="2DF3F1FA" w:rsidRDefault="2DF3F1FA" w14:paraId="54305ED5" w14:textId="29C63CFB">
      <w:pPr>
        <w:spacing w:line="276" w:lineRule="auto"/>
        <w:jc w:val="both"/>
        <w:rPr>
          <w:rFonts w:eastAsiaTheme="minorEastAsia"/>
        </w:rPr>
      </w:pPr>
    </w:p>
    <w:p w:rsidR="2DF3F1FA" w:rsidP="2E12293C" w:rsidRDefault="2DF3F1FA" w14:paraId="5BDC081C" w14:textId="6E9E2BBE">
      <w:pPr>
        <w:spacing w:after="0"/>
        <w:jc w:val="both"/>
        <w:rPr>
          <w:rFonts w:eastAsiaTheme="minorEastAsia"/>
        </w:rPr>
      </w:pPr>
    </w:p>
    <w:p w:rsidR="2DF3F1FA" w:rsidP="2DF3F1FA" w:rsidRDefault="2DF3F1FA" w14:paraId="4D246E83" w14:textId="2D3F5D5C">
      <w:pPr>
        <w:jc w:val="both"/>
        <w:rPr>
          <w:rFonts w:ascii="Times New Roman" w:hAnsi="Times New Roman" w:cs="Times New Roman"/>
        </w:rPr>
      </w:pPr>
    </w:p>
    <w:sectPr w:rsidR="2DF3F1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4C88" w14:textId="77777777" w:rsidR="000F3C68" w:rsidRDefault="000F3C68">
      <w:pPr>
        <w:spacing w:after="0" w:line="240" w:lineRule="auto"/>
      </w:pPr>
      <w:r>
        <w:separator/>
      </w:r>
    </w:p>
  </w:endnote>
  <w:endnote w:type="continuationSeparator" w:id="0">
    <w:p w14:paraId="06CB09A5" w14:textId="77777777" w:rsidR="000F3C68" w:rsidRDefault="000F3C68">
      <w:pPr>
        <w:spacing w:after="0" w:line="240" w:lineRule="auto"/>
      </w:pPr>
      <w:r>
        <w:continuationSeparator/>
      </w:r>
    </w:p>
  </w:endnote>
  <w:endnote w:type="continuationNotice" w:id="1">
    <w:p w14:paraId="7A81E70E" w14:textId="77777777" w:rsidR="000F3C68" w:rsidRDefault="000F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8183" w14:textId="77777777" w:rsidR="000F3C68" w:rsidRDefault="000F3C68">
      <w:pPr>
        <w:spacing w:after="0" w:line="240" w:lineRule="auto"/>
      </w:pPr>
      <w:r>
        <w:separator/>
      </w:r>
    </w:p>
  </w:footnote>
  <w:footnote w:type="continuationSeparator" w:id="0">
    <w:p w14:paraId="2148AE30" w14:textId="77777777" w:rsidR="000F3C68" w:rsidRDefault="000F3C68">
      <w:pPr>
        <w:spacing w:after="0" w:line="240" w:lineRule="auto"/>
      </w:pPr>
      <w:r>
        <w:continuationSeparator/>
      </w:r>
    </w:p>
  </w:footnote>
  <w:footnote w:type="continuationNotice" w:id="1">
    <w:p w14:paraId="033E03DF" w14:textId="77777777" w:rsidR="000F3C68" w:rsidRDefault="000F3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8CDB"/>
    <w:multiLevelType w:val="hybridMultilevel"/>
    <w:tmpl w:val="FFFFFFFF"/>
    <w:lvl w:ilvl="0" w:tplc="78D87E5C">
      <w:start w:val="1"/>
      <w:numFmt w:val="bullet"/>
      <w:lvlText w:val="·"/>
      <w:lvlJc w:val="left"/>
      <w:pPr>
        <w:ind w:left="720" w:hanging="360"/>
      </w:pPr>
      <w:rPr>
        <w:rFonts w:hint="default" w:ascii="Symbol" w:hAnsi="Symbol"/>
      </w:rPr>
    </w:lvl>
    <w:lvl w:ilvl="1" w:tplc="363E6932">
      <w:start w:val="1"/>
      <w:numFmt w:val="bullet"/>
      <w:lvlText w:val="o"/>
      <w:lvlJc w:val="left"/>
      <w:pPr>
        <w:ind w:left="1440" w:hanging="360"/>
      </w:pPr>
      <w:rPr>
        <w:rFonts w:hint="default" w:ascii="Courier New" w:hAnsi="Courier New"/>
      </w:rPr>
    </w:lvl>
    <w:lvl w:ilvl="2" w:tplc="14B6FBB0">
      <w:start w:val="1"/>
      <w:numFmt w:val="bullet"/>
      <w:lvlText w:val=""/>
      <w:lvlJc w:val="left"/>
      <w:pPr>
        <w:ind w:left="2160" w:hanging="360"/>
      </w:pPr>
      <w:rPr>
        <w:rFonts w:hint="default" w:ascii="Wingdings" w:hAnsi="Wingdings"/>
      </w:rPr>
    </w:lvl>
    <w:lvl w:ilvl="3" w:tplc="327C2EA4">
      <w:start w:val="1"/>
      <w:numFmt w:val="bullet"/>
      <w:lvlText w:val=""/>
      <w:lvlJc w:val="left"/>
      <w:pPr>
        <w:ind w:left="2880" w:hanging="360"/>
      </w:pPr>
      <w:rPr>
        <w:rFonts w:hint="default" w:ascii="Symbol" w:hAnsi="Symbol"/>
      </w:rPr>
    </w:lvl>
    <w:lvl w:ilvl="4" w:tplc="C0FE5678">
      <w:start w:val="1"/>
      <w:numFmt w:val="bullet"/>
      <w:lvlText w:val="o"/>
      <w:lvlJc w:val="left"/>
      <w:pPr>
        <w:ind w:left="3600" w:hanging="360"/>
      </w:pPr>
      <w:rPr>
        <w:rFonts w:hint="default" w:ascii="Courier New" w:hAnsi="Courier New"/>
      </w:rPr>
    </w:lvl>
    <w:lvl w:ilvl="5" w:tplc="9EE40BC2">
      <w:start w:val="1"/>
      <w:numFmt w:val="bullet"/>
      <w:lvlText w:val=""/>
      <w:lvlJc w:val="left"/>
      <w:pPr>
        <w:ind w:left="4320" w:hanging="360"/>
      </w:pPr>
      <w:rPr>
        <w:rFonts w:hint="default" w:ascii="Wingdings" w:hAnsi="Wingdings"/>
      </w:rPr>
    </w:lvl>
    <w:lvl w:ilvl="6" w:tplc="570E49C4">
      <w:start w:val="1"/>
      <w:numFmt w:val="bullet"/>
      <w:lvlText w:val=""/>
      <w:lvlJc w:val="left"/>
      <w:pPr>
        <w:ind w:left="5040" w:hanging="360"/>
      </w:pPr>
      <w:rPr>
        <w:rFonts w:hint="default" w:ascii="Symbol" w:hAnsi="Symbol"/>
      </w:rPr>
    </w:lvl>
    <w:lvl w:ilvl="7" w:tplc="5EA8D5BA">
      <w:start w:val="1"/>
      <w:numFmt w:val="bullet"/>
      <w:lvlText w:val="o"/>
      <w:lvlJc w:val="left"/>
      <w:pPr>
        <w:ind w:left="5760" w:hanging="360"/>
      </w:pPr>
      <w:rPr>
        <w:rFonts w:hint="default" w:ascii="Courier New" w:hAnsi="Courier New"/>
      </w:rPr>
    </w:lvl>
    <w:lvl w:ilvl="8" w:tplc="EC2C150E">
      <w:start w:val="1"/>
      <w:numFmt w:val="bullet"/>
      <w:lvlText w:val=""/>
      <w:lvlJc w:val="left"/>
      <w:pPr>
        <w:ind w:left="6480" w:hanging="360"/>
      </w:pPr>
      <w:rPr>
        <w:rFonts w:hint="default" w:ascii="Wingdings" w:hAnsi="Wingdings"/>
      </w:rPr>
    </w:lvl>
  </w:abstractNum>
  <w:abstractNum w:abstractNumId="1" w15:restartNumberingAfterBreak="0">
    <w:nsid w:val="271F6EAA"/>
    <w:multiLevelType w:val="hybridMultilevel"/>
    <w:tmpl w:val="FFFFFFFF"/>
    <w:lvl w:ilvl="0" w:tplc="AFC2418C">
      <w:start w:val="1"/>
      <w:numFmt w:val="bullet"/>
      <w:lvlText w:val="·"/>
      <w:lvlJc w:val="left"/>
      <w:pPr>
        <w:ind w:left="720" w:hanging="360"/>
      </w:pPr>
      <w:rPr>
        <w:rFonts w:hint="default" w:ascii="Symbol" w:hAnsi="Symbol"/>
      </w:rPr>
    </w:lvl>
    <w:lvl w:ilvl="1" w:tplc="ED649F0A">
      <w:start w:val="1"/>
      <w:numFmt w:val="bullet"/>
      <w:lvlText w:val="o"/>
      <w:lvlJc w:val="left"/>
      <w:pPr>
        <w:ind w:left="1440" w:hanging="360"/>
      </w:pPr>
      <w:rPr>
        <w:rFonts w:hint="default" w:ascii="Courier New" w:hAnsi="Courier New"/>
      </w:rPr>
    </w:lvl>
    <w:lvl w:ilvl="2" w:tplc="C980A87A">
      <w:start w:val="1"/>
      <w:numFmt w:val="bullet"/>
      <w:lvlText w:val=""/>
      <w:lvlJc w:val="left"/>
      <w:pPr>
        <w:ind w:left="2160" w:hanging="360"/>
      </w:pPr>
      <w:rPr>
        <w:rFonts w:hint="default" w:ascii="Wingdings" w:hAnsi="Wingdings"/>
      </w:rPr>
    </w:lvl>
    <w:lvl w:ilvl="3" w:tplc="EEA8528C">
      <w:start w:val="1"/>
      <w:numFmt w:val="bullet"/>
      <w:lvlText w:val=""/>
      <w:lvlJc w:val="left"/>
      <w:pPr>
        <w:ind w:left="2880" w:hanging="360"/>
      </w:pPr>
      <w:rPr>
        <w:rFonts w:hint="default" w:ascii="Symbol" w:hAnsi="Symbol"/>
      </w:rPr>
    </w:lvl>
    <w:lvl w:ilvl="4" w:tplc="4028D39A">
      <w:start w:val="1"/>
      <w:numFmt w:val="bullet"/>
      <w:lvlText w:val="o"/>
      <w:lvlJc w:val="left"/>
      <w:pPr>
        <w:ind w:left="3600" w:hanging="360"/>
      </w:pPr>
      <w:rPr>
        <w:rFonts w:hint="default" w:ascii="Courier New" w:hAnsi="Courier New"/>
      </w:rPr>
    </w:lvl>
    <w:lvl w:ilvl="5" w:tplc="57886AC4">
      <w:start w:val="1"/>
      <w:numFmt w:val="bullet"/>
      <w:lvlText w:val=""/>
      <w:lvlJc w:val="left"/>
      <w:pPr>
        <w:ind w:left="4320" w:hanging="360"/>
      </w:pPr>
      <w:rPr>
        <w:rFonts w:hint="default" w:ascii="Wingdings" w:hAnsi="Wingdings"/>
      </w:rPr>
    </w:lvl>
    <w:lvl w:ilvl="6" w:tplc="3CF4A5D0">
      <w:start w:val="1"/>
      <w:numFmt w:val="bullet"/>
      <w:lvlText w:val=""/>
      <w:lvlJc w:val="left"/>
      <w:pPr>
        <w:ind w:left="5040" w:hanging="360"/>
      </w:pPr>
      <w:rPr>
        <w:rFonts w:hint="default" w:ascii="Symbol" w:hAnsi="Symbol"/>
      </w:rPr>
    </w:lvl>
    <w:lvl w:ilvl="7" w:tplc="A8007102">
      <w:start w:val="1"/>
      <w:numFmt w:val="bullet"/>
      <w:lvlText w:val="o"/>
      <w:lvlJc w:val="left"/>
      <w:pPr>
        <w:ind w:left="5760" w:hanging="360"/>
      </w:pPr>
      <w:rPr>
        <w:rFonts w:hint="default" w:ascii="Courier New" w:hAnsi="Courier New"/>
      </w:rPr>
    </w:lvl>
    <w:lvl w:ilvl="8" w:tplc="C3485D1C">
      <w:start w:val="1"/>
      <w:numFmt w:val="bullet"/>
      <w:lvlText w:val=""/>
      <w:lvlJc w:val="left"/>
      <w:pPr>
        <w:ind w:left="6480" w:hanging="360"/>
      </w:pPr>
      <w:rPr>
        <w:rFonts w:hint="default" w:ascii="Wingdings" w:hAnsi="Wingdings"/>
      </w:rPr>
    </w:lvl>
  </w:abstractNum>
  <w:abstractNum w:abstractNumId="2" w15:restartNumberingAfterBreak="0">
    <w:nsid w:val="279DB05C"/>
    <w:multiLevelType w:val="hybridMultilevel"/>
    <w:tmpl w:val="FFFFFFFF"/>
    <w:lvl w:ilvl="0" w:tplc="88940B8C">
      <w:start w:val="1"/>
      <w:numFmt w:val="lowerRoman"/>
      <w:lvlText w:val="%1."/>
      <w:lvlJc w:val="left"/>
      <w:pPr>
        <w:ind w:left="720" w:hanging="360"/>
      </w:pPr>
    </w:lvl>
    <w:lvl w:ilvl="1" w:tplc="57086584">
      <w:start w:val="1"/>
      <w:numFmt w:val="lowerLetter"/>
      <w:lvlText w:val="%2."/>
      <w:lvlJc w:val="left"/>
      <w:pPr>
        <w:ind w:left="1440" w:hanging="360"/>
      </w:pPr>
    </w:lvl>
    <w:lvl w:ilvl="2" w:tplc="F93642FE">
      <w:start w:val="1"/>
      <w:numFmt w:val="lowerRoman"/>
      <w:lvlText w:val="%3."/>
      <w:lvlJc w:val="right"/>
      <w:pPr>
        <w:ind w:left="2160" w:hanging="180"/>
      </w:pPr>
    </w:lvl>
    <w:lvl w:ilvl="3" w:tplc="6CD82690">
      <w:start w:val="1"/>
      <w:numFmt w:val="decimal"/>
      <w:lvlText w:val="%4."/>
      <w:lvlJc w:val="left"/>
      <w:pPr>
        <w:ind w:left="2880" w:hanging="360"/>
      </w:pPr>
    </w:lvl>
    <w:lvl w:ilvl="4" w:tplc="D6C850D2">
      <w:start w:val="1"/>
      <w:numFmt w:val="lowerLetter"/>
      <w:lvlText w:val="%5."/>
      <w:lvlJc w:val="left"/>
      <w:pPr>
        <w:ind w:left="3600" w:hanging="360"/>
      </w:pPr>
    </w:lvl>
    <w:lvl w:ilvl="5" w:tplc="0A70B25C">
      <w:start w:val="1"/>
      <w:numFmt w:val="lowerRoman"/>
      <w:lvlText w:val="%6."/>
      <w:lvlJc w:val="right"/>
      <w:pPr>
        <w:ind w:left="4320" w:hanging="180"/>
      </w:pPr>
    </w:lvl>
    <w:lvl w:ilvl="6" w:tplc="1354BAD8">
      <w:start w:val="1"/>
      <w:numFmt w:val="decimal"/>
      <w:lvlText w:val="%7."/>
      <w:lvlJc w:val="left"/>
      <w:pPr>
        <w:ind w:left="5040" w:hanging="360"/>
      </w:pPr>
    </w:lvl>
    <w:lvl w:ilvl="7" w:tplc="76CA8A64">
      <w:start w:val="1"/>
      <w:numFmt w:val="lowerLetter"/>
      <w:lvlText w:val="%8."/>
      <w:lvlJc w:val="left"/>
      <w:pPr>
        <w:ind w:left="5760" w:hanging="360"/>
      </w:pPr>
    </w:lvl>
    <w:lvl w:ilvl="8" w:tplc="C6F08914">
      <w:start w:val="1"/>
      <w:numFmt w:val="lowerRoman"/>
      <w:lvlText w:val="%9."/>
      <w:lvlJc w:val="right"/>
      <w:pPr>
        <w:ind w:left="6480" w:hanging="180"/>
      </w:pPr>
    </w:lvl>
  </w:abstractNum>
  <w:abstractNum w:abstractNumId="3" w15:restartNumberingAfterBreak="0">
    <w:nsid w:val="47777641"/>
    <w:multiLevelType w:val="hybridMultilevel"/>
    <w:tmpl w:val="F4D405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6D8B7"/>
    <w:multiLevelType w:val="hybridMultilevel"/>
    <w:tmpl w:val="FFFFFFFF"/>
    <w:lvl w:ilvl="0" w:tplc="C7A498A4">
      <w:start w:val="1"/>
      <w:numFmt w:val="bullet"/>
      <w:lvlText w:val="·"/>
      <w:lvlJc w:val="left"/>
      <w:pPr>
        <w:ind w:left="720" w:hanging="360"/>
      </w:pPr>
      <w:rPr>
        <w:rFonts w:hint="default" w:ascii="Symbol" w:hAnsi="Symbol"/>
      </w:rPr>
    </w:lvl>
    <w:lvl w:ilvl="1" w:tplc="5E1CDABA">
      <w:start w:val="1"/>
      <w:numFmt w:val="bullet"/>
      <w:lvlText w:val="o"/>
      <w:lvlJc w:val="left"/>
      <w:pPr>
        <w:ind w:left="1440" w:hanging="360"/>
      </w:pPr>
      <w:rPr>
        <w:rFonts w:hint="default" w:ascii="Courier New" w:hAnsi="Courier New"/>
      </w:rPr>
    </w:lvl>
    <w:lvl w:ilvl="2" w:tplc="BC12A05C">
      <w:start w:val="1"/>
      <w:numFmt w:val="bullet"/>
      <w:lvlText w:val=""/>
      <w:lvlJc w:val="left"/>
      <w:pPr>
        <w:ind w:left="2160" w:hanging="360"/>
      </w:pPr>
      <w:rPr>
        <w:rFonts w:hint="default" w:ascii="Wingdings" w:hAnsi="Wingdings"/>
      </w:rPr>
    </w:lvl>
    <w:lvl w:ilvl="3" w:tplc="7C6CBE04">
      <w:start w:val="1"/>
      <w:numFmt w:val="bullet"/>
      <w:lvlText w:val=""/>
      <w:lvlJc w:val="left"/>
      <w:pPr>
        <w:ind w:left="2880" w:hanging="360"/>
      </w:pPr>
      <w:rPr>
        <w:rFonts w:hint="default" w:ascii="Symbol" w:hAnsi="Symbol"/>
      </w:rPr>
    </w:lvl>
    <w:lvl w:ilvl="4" w:tplc="31CE39AA">
      <w:start w:val="1"/>
      <w:numFmt w:val="bullet"/>
      <w:lvlText w:val="o"/>
      <w:lvlJc w:val="left"/>
      <w:pPr>
        <w:ind w:left="3600" w:hanging="360"/>
      </w:pPr>
      <w:rPr>
        <w:rFonts w:hint="default" w:ascii="Courier New" w:hAnsi="Courier New"/>
      </w:rPr>
    </w:lvl>
    <w:lvl w:ilvl="5" w:tplc="AEA2ECA0">
      <w:start w:val="1"/>
      <w:numFmt w:val="bullet"/>
      <w:lvlText w:val=""/>
      <w:lvlJc w:val="left"/>
      <w:pPr>
        <w:ind w:left="4320" w:hanging="360"/>
      </w:pPr>
      <w:rPr>
        <w:rFonts w:hint="default" w:ascii="Wingdings" w:hAnsi="Wingdings"/>
      </w:rPr>
    </w:lvl>
    <w:lvl w:ilvl="6" w:tplc="5512FFDC">
      <w:start w:val="1"/>
      <w:numFmt w:val="bullet"/>
      <w:lvlText w:val=""/>
      <w:lvlJc w:val="left"/>
      <w:pPr>
        <w:ind w:left="5040" w:hanging="360"/>
      </w:pPr>
      <w:rPr>
        <w:rFonts w:hint="default" w:ascii="Symbol" w:hAnsi="Symbol"/>
      </w:rPr>
    </w:lvl>
    <w:lvl w:ilvl="7" w:tplc="63A0467C">
      <w:start w:val="1"/>
      <w:numFmt w:val="bullet"/>
      <w:lvlText w:val="o"/>
      <w:lvlJc w:val="left"/>
      <w:pPr>
        <w:ind w:left="5760" w:hanging="360"/>
      </w:pPr>
      <w:rPr>
        <w:rFonts w:hint="default" w:ascii="Courier New" w:hAnsi="Courier New"/>
      </w:rPr>
    </w:lvl>
    <w:lvl w:ilvl="8" w:tplc="7164708E">
      <w:start w:val="1"/>
      <w:numFmt w:val="bullet"/>
      <w:lvlText w:val=""/>
      <w:lvlJc w:val="left"/>
      <w:pPr>
        <w:ind w:left="6480" w:hanging="360"/>
      </w:pPr>
      <w:rPr>
        <w:rFonts w:hint="default" w:ascii="Wingdings" w:hAnsi="Wingdings"/>
      </w:rPr>
    </w:lvl>
  </w:abstractNum>
  <w:abstractNum w:abstractNumId="5" w15:restartNumberingAfterBreak="0">
    <w:nsid w:val="5C8238A2"/>
    <w:multiLevelType w:val="hybridMultilevel"/>
    <w:tmpl w:val="FFFFFFFF"/>
    <w:lvl w:ilvl="0" w:tplc="34365F60">
      <w:start w:val="1"/>
      <w:numFmt w:val="lowerRoman"/>
      <w:lvlText w:val="%1."/>
      <w:lvlJc w:val="right"/>
      <w:pPr>
        <w:ind w:left="720" w:hanging="360"/>
      </w:pPr>
    </w:lvl>
    <w:lvl w:ilvl="1" w:tplc="8038852A">
      <w:start w:val="1"/>
      <w:numFmt w:val="lowerLetter"/>
      <w:lvlText w:val="%2."/>
      <w:lvlJc w:val="left"/>
      <w:pPr>
        <w:ind w:left="1440" w:hanging="360"/>
      </w:pPr>
    </w:lvl>
    <w:lvl w:ilvl="2" w:tplc="3940B838">
      <w:start w:val="1"/>
      <w:numFmt w:val="lowerRoman"/>
      <w:lvlText w:val="%3."/>
      <w:lvlJc w:val="right"/>
      <w:pPr>
        <w:ind w:left="2160" w:hanging="180"/>
      </w:pPr>
    </w:lvl>
    <w:lvl w:ilvl="3" w:tplc="CC068D6E">
      <w:start w:val="1"/>
      <w:numFmt w:val="decimal"/>
      <w:lvlText w:val="%4."/>
      <w:lvlJc w:val="left"/>
      <w:pPr>
        <w:ind w:left="2880" w:hanging="360"/>
      </w:pPr>
    </w:lvl>
    <w:lvl w:ilvl="4" w:tplc="4F90B558">
      <w:start w:val="1"/>
      <w:numFmt w:val="lowerLetter"/>
      <w:lvlText w:val="%5."/>
      <w:lvlJc w:val="left"/>
      <w:pPr>
        <w:ind w:left="3600" w:hanging="360"/>
      </w:pPr>
    </w:lvl>
    <w:lvl w:ilvl="5" w:tplc="6298C722">
      <w:start w:val="1"/>
      <w:numFmt w:val="lowerRoman"/>
      <w:lvlText w:val="%6."/>
      <w:lvlJc w:val="right"/>
      <w:pPr>
        <w:ind w:left="4320" w:hanging="180"/>
      </w:pPr>
    </w:lvl>
    <w:lvl w:ilvl="6" w:tplc="10AA99EC">
      <w:start w:val="1"/>
      <w:numFmt w:val="decimal"/>
      <w:lvlText w:val="%7."/>
      <w:lvlJc w:val="left"/>
      <w:pPr>
        <w:ind w:left="5040" w:hanging="360"/>
      </w:pPr>
    </w:lvl>
    <w:lvl w:ilvl="7" w:tplc="840C3AC8">
      <w:start w:val="1"/>
      <w:numFmt w:val="lowerLetter"/>
      <w:lvlText w:val="%8."/>
      <w:lvlJc w:val="left"/>
      <w:pPr>
        <w:ind w:left="5760" w:hanging="360"/>
      </w:pPr>
    </w:lvl>
    <w:lvl w:ilvl="8" w:tplc="8A1014F8">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01"/>
    <w:rsid w:val="000F096E"/>
    <w:rsid w:val="000F12FE"/>
    <w:rsid w:val="000F3C68"/>
    <w:rsid w:val="001B1F9A"/>
    <w:rsid w:val="001F324F"/>
    <w:rsid w:val="001FC79F"/>
    <w:rsid w:val="00205BD5"/>
    <w:rsid w:val="002270F3"/>
    <w:rsid w:val="0023666E"/>
    <w:rsid w:val="002746DD"/>
    <w:rsid w:val="00495BDF"/>
    <w:rsid w:val="00681201"/>
    <w:rsid w:val="007428FF"/>
    <w:rsid w:val="0074631D"/>
    <w:rsid w:val="0075238C"/>
    <w:rsid w:val="008063AD"/>
    <w:rsid w:val="00812315"/>
    <w:rsid w:val="00874205"/>
    <w:rsid w:val="0090411A"/>
    <w:rsid w:val="00947540"/>
    <w:rsid w:val="009C507A"/>
    <w:rsid w:val="00B06253"/>
    <w:rsid w:val="00BA5CD2"/>
    <w:rsid w:val="00C33990"/>
    <w:rsid w:val="00CB7456"/>
    <w:rsid w:val="00D24B64"/>
    <w:rsid w:val="00DC2722"/>
    <w:rsid w:val="00E32675"/>
    <w:rsid w:val="00E66081"/>
    <w:rsid w:val="00EA3773"/>
    <w:rsid w:val="00F10D0A"/>
    <w:rsid w:val="00F860D7"/>
    <w:rsid w:val="02E45AC1"/>
    <w:rsid w:val="02ECCF3E"/>
    <w:rsid w:val="0319CF7A"/>
    <w:rsid w:val="0453FF52"/>
    <w:rsid w:val="045465EB"/>
    <w:rsid w:val="0462D76D"/>
    <w:rsid w:val="04AAABA7"/>
    <w:rsid w:val="04C809A2"/>
    <w:rsid w:val="050561C2"/>
    <w:rsid w:val="050FC47B"/>
    <w:rsid w:val="0525A8DA"/>
    <w:rsid w:val="05FF553F"/>
    <w:rsid w:val="0602D326"/>
    <w:rsid w:val="0677CFA8"/>
    <w:rsid w:val="068E3A50"/>
    <w:rsid w:val="071E223A"/>
    <w:rsid w:val="079B25A0"/>
    <w:rsid w:val="07A05E4B"/>
    <w:rsid w:val="08461C05"/>
    <w:rsid w:val="087B2CBE"/>
    <w:rsid w:val="08953342"/>
    <w:rsid w:val="094DD9CE"/>
    <w:rsid w:val="095B23D2"/>
    <w:rsid w:val="09604780"/>
    <w:rsid w:val="097E1CCA"/>
    <w:rsid w:val="0983C959"/>
    <w:rsid w:val="099E78BB"/>
    <w:rsid w:val="09C9B812"/>
    <w:rsid w:val="09D66559"/>
    <w:rsid w:val="0A16FD1F"/>
    <w:rsid w:val="0A59BD96"/>
    <w:rsid w:val="0A5BCDC6"/>
    <w:rsid w:val="0A7CC1A0"/>
    <w:rsid w:val="0A7E25D8"/>
    <w:rsid w:val="0AA304AA"/>
    <w:rsid w:val="0AAFC627"/>
    <w:rsid w:val="0AEF6CA6"/>
    <w:rsid w:val="0AF67D36"/>
    <w:rsid w:val="0AFD1B0C"/>
    <w:rsid w:val="0B44F76E"/>
    <w:rsid w:val="0B4EE148"/>
    <w:rsid w:val="0C973955"/>
    <w:rsid w:val="0DE09FC6"/>
    <w:rsid w:val="0E9AC35E"/>
    <w:rsid w:val="0F16526D"/>
    <w:rsid w:val="0F4D7958"/>
    <w:rsid w:val="0F74B59E"/>
    <w:rsid w:val="0FB8F805"/>
    <w:rsid w:val="1003BE05"/>
    <w:rsid w:val="10186891"/>
    <w:rsid w:val="10ACA0DA"/>
    <w:rsid w:val="11194989"/>
    <w:rsid w:val="116F48DD"/>
    <w:rsid w:val="1269C559"/>
    <w:rsid w:val="12B519EA"/>
    <w:rsid w:val="135BE4CD"/>
    <w:rsid w:val="135E5E2E"/>
    <w:rsid w:val="13FF67D0"/>
    <w:rsid w:val="1418C203"/>
    <w:rsid w:val="141ADBE6"/>
    <w:rsid w:val="144A83F3"/>
    <w:rsid w:val="148AB674"/>
    <w:rsid w:val="14B6475A"/>
    <w:rsid w:val="14F7B52E"/>
    <w:rsid w:val="15267B73"/>
    <w:rsid w:val="15435679"/>
    <w:rsid w:val="157E00AA"/>
    <w:rsid w:val="158AE669"/>
    <w:rsid w:val="1637B554"/>
    <w:rsid w:val="164A00F6"/>
    <w:rsid w:val="169CB5A0"/>
    <w:rsid w:val="16B45ADA"/>
    <w:rsid w:val="182818D5"/>
    <w:rsid w:val="182FC277"/>
    <w:rsid w:val="18D0E28D"/>
    <w:rsid w:val="18F45B9E"/>
    <w:rsid w:val="19A1DAA9"/>
    <w:rsid w:val="1B01C6A1"/>
    <w:rsid w:val="1B3FFD57"/>
    <w:rsid w:val="1B546AD5"/>
    <w:rsid w:val="1B676339"/>
    <w:rsid w:val="1BEC2754"/>
    <w:rsid w:val="1C01D1ED"/>
    <w:rsid w:val="1C42819F"/>
    <w:rsid w:val="1CA95898"/>
    <w:rsid w:val="1CD7FCC1"/>
    <w:rsid w:val="1CEEC0C3"/>
    <w:rsid w:val="1D03339A"/>
    <w:rsid w:val="1E6158C3"/>
    <w:rsid w:val="1E85E5BA"/>
    <w:rsid w:val="1ED0BD7E"/>
    <w:rsid w:val="1ED3A0AF"/>
    <w:rsid w:val="1F34C584"/>
    <w:rsid w:val="1FD90193"/>
    <w:rsid w:val="201FFD49"/>
    <w:rsid w:val="2057D025"/>
    <w:rsid w:val="20BB23B6"/>
    <w:rsid w:val="20BBEBA5"/>
    <w:rsid w:val="20ED6446"/>
    <w:rsid w:val="20FB881C"/>
    <w:rsid w:val="214F1CB9"/>
    <w:rsid w:val="21705126"/>
    <w:rsid w:val="21A66DBC"/>
    <w:rsid w:val="21BBCDAA"/>
    <w:rsid w:val="21CA7081"/>
    <w:rsid w:val="22567D1A"/>
    <w:rsid w:val="225A2F37"/>
    <w:rsid w:val="22DE79D4"/>
    <w:rsid w:val="231FAE6A"/>
    <w:rsid w:val="24CFE912"/>
    <w:rsid w:val="253A761A"/>
    <w:rsid w:val="258E1DDC"/>
    <w:rsid w:val="25D1507E"/>
    <w:rsid w:val="26843B31"/>
    <w:rsid w:val="271117B2"/>
    <w:rsid w:val="27243F17"/>
    <w:rsid w:val="2729B8CF"/>
    <w:rsid w:val="276B3661"/>
    <w:rsid w:val="27739381"/>
    <w:rsid w:val="27D2C5F4"/>
    <w:rsid w:val="281AAF68"/>
    <w:rsid w:val="28B181FF"/>
    <w:rsid w:val="29126CEE"/>
    <w:rsid w:val="2987045F"/>
    <w:rsid w:val="29BD5D7C"/>
    <w:rsid w:val="2A2087AF"/>
    <w:rsid w:val="2A6BCCFA"/>
    <w:rsid w:val="2A75C752"/>
    <w:rsid w:val="2A8D1D27"/>
    <w:rsid w:val="2AACBFB9"/>
    <w:rsid w:val="2B5D538E"/>
    <w:rsid w:val="2BFE3C56"/>
    <w:rsid w:val="2C83E8E1"/>
    <w:rsid w:val="2CE61A94"/>
    <w:rsid w:val="2D2DA979"/>
    <w:rsid w:val="2D6FA983"/>
    <w:rsid w:val="2DDDB599"/>
    <w:rsid w:val="2DF3F1FA"/>
    <w:rsid w:val="2DF582F3"/>
    <w:rsid w:val="2E12293C"/>
    <w:rsid w:val="2EB88B21"/>
    <w:rsid w:val="2F35DD18"/>
    <w:rsid w:val="2FF09348"/>
    <w:rsid w:val="302DAED3"/>
    <w:rsid w:val="307B97C8"/>
    <w:rsid w:val="30F72190"/>
    <w:rsid w:val="31382E84"/>
    <w:rsid w:val="315FFD9A"/>
    <w:rsid w:val="3169549A"/>
    <w:rsid w:val="3173F870"/>
    <w:rsid w:val="31B38693"/>
    <w:rsid w:val="326D7DDA"/>
    <w:rsid w:val="32FF27FA"/>
    <w:rsid w:val="332AA0E8"/>
    <w:rsid w:val="33678109"/>
    <w:rsid w:val="34EEB255"/>
    <w:rsid w:val="3505A882"/>
    <w:rsid w:val="35AC2F2C"/>
    <w:rsid w:val="35BC2353"/>
    <w:rsid w:val="35D54BB0"/>
    <w:rsid w:val="35D79DFD"/>
    <w:rsid w:val="360684DE"/>
    <w:rsid w:val="3631F151"/>
    <w:rsid w:val="3678A036"/>
    <w:rsid w:val="36A9F1F2"/>
    <w:rsid w:val="36C15D52"/>
    <w:rsid w:val="36EFE73B"/>
    <w:rsid w:val="3716A79E"/>
    <w:rsid w:val="3739D030"/>
    <w:rsid w:val="374670DC"/>
    <w:rsid w:val="378EA1EC"/>
    <w:rsid w:val="37A2553F"/>
    <w:rsid w:val="37E3B518"/>
    <w:rsid w:val="385EE765"/>
    <w:rsid w:val="393E25A0"/>
    <w:rsid w:val="393EAB34"/>
    <w:rsid w:val="3A09BC76"/>
    <w:rsid w:val="3A64CDA6"/>
    <w:rsid w:val="3A94D088"/>
    <w:rsid w:val="3B358225"/>
    <w:rsid w:val="3B84F8C7"/>
    <w:rsid w:val="3BB6DAD4"/>
    <w:rsid w:val="3C20E853"/>
    <w:rsid w:val="3C34FFE0"/>
    <w:rsid w:val="3C42E030"/>
    <w:rsid w:val="3C6D2329"/>
    <w:rsid w:val="3CBA37E7"/>
    <w:rsid w:val="3CE5A82D"/>
    <w:rsid w:val="3DF98C54"/>
    <w:rsid w:val="3E5A3B2A"/>
    <w:rsid w:val="3E6D7DC6"/>
    <w:rsid w:val="3E8AD663"/>
    <w:rsid w:val="3E8DBCC9"/>
    <w:rsid w:val="3EC38A99"/>
    <w:rsid w:val="3F45E1BA"/>
    <w:rsid w:val="3FD8563D"/>
    <w:rsid w:val="402AAA40"/>
    <w:rsid w:val="40E9822B"/>
    <w:rsid w:val="415A3D14"/>
    <w:rsid w:val="41710C50"/>
    <w:rsid w:val="423E3D03"/>
    <w:rsid w:val="4325F40B"/>
    <w:rsid w:val="432642B7"/>
    <w:rsid w:val="43DD4D5D"/>
    <w:rsid w:val="43DEE57B"/>
    <w:rsid w:val="4491AC0B"/>
    <w:rsid w:val="44A2A9B1"/>
    <w:rsid w:val="44ABC760"/>
    <w:rsid w:val="44D4142A"/>
    <w:rsid w:val="46BD3295"/>
    <w:rsid w:val="46C60A10"/>
    <w:rsid w:val="474FC94C"/>
    <w:rsid w:val="478A49C7"/>
    <w:rsid w:val="47CFB35E"/>
    <w:rsid w:val="4861DA71"/>
    <w:rsid w:val="488C203D"/>
    <w:rsid w:val="48936316"/>
    <w:rsid w:val="497F9292"/>
    <w:rsid w:val="49B45561"/>
    <w:rsid w:val="49FA1826"/>
    <w:rsid w:val="4A0026BB"/>
    <w:rsid w:val="4A01740A"/>
    <w:rsid w:val="4AEE0B63"/>
    <w:rsid w:val="4AFCEAE1"/>
    <w:rsid w:val="4B0223C3"/>
    <w:rsid w:val="4B0F8375"/>
    <w:rsid w:val="4B18465D"/>
    <w:rsid w:val="4B91787D"/>
    <w:rsid w:val="4B92B6D5"/>
    <w:rsid w:val="4BC22C44"/>
    <w:rsid w:val="4BE34BEB"/>
    <w:rsid w:val="4CB416BE"/>
    <w:rsid w:val="4D354B94"/>
    <w:rsid w:val="4D3CF30F"/>
    <w:rsid w:val="4D7B8F7C"/>
    <w:rsid w:val="4E056312"/>
    <w:rsid w:val="4E728570"/>
    <w:rsid w:val="4F0CBEBC"/>
    <w:rsid w:val="4F2E9122"/>
    <w:rsid w:val="4F370F9A"/>
    <w:rsid w:val="50A715C8"/>
    <w:rsid w:val="50A88F1D"/>
    <w:rsid w:val="50ABA073"/>
    <w:rsid w:val="50C865C1"/>
    <w:rsid w:val="5121F8B2"/>
    <w:rsid w:val="518E7A3E"/>
    <w:rsid w:val="5281E487"/>
    <w:rsid w:val="52A97736"/>
    <w:rsid w:val="52B3FEC3"/>
    <w:rsid w:val="52B73901"/>
    <w:rsid w:val="5316DAB8"/>
    <w:rsid w:val="53523B1E"/>
    <w:rsid w:val="542447F8"/>
    <w:rsid w:val="54730F72"/>
    <w:rsid w:val="54CCDEC4"/>
    <w:rsid w:val="551740F5"/>
    <w:rsid w:val="55275044"/>
    <w:rsid w:val="5565BB2D"/>
    <w:rsid w:val="557C0040"/>
    <w:rsid w:val="5661EB61"/>
    <w:rsid w:val="567B19EE"/>
    <w:rsid w:val="5682714E"/>
    <w:rsid w:val="5726C014"/>
    <w:rsid w:val="57413D15"/>
    <w:rsid w:val="57783C83"/>
    <w:rsid w:val="582EA8CA"/>
    <w:rsid w:val="590F77F2"/>
    <w:rsid w:val="59227D76"/>
    <w:rsid w:val="5958EBE9"/>
    <w:rsid w:val="5A772DD4"/>
    <w:rsid w:val="5A86429B"/>
    <w:rsid w:val="5AC24AE6"/>
    <w:rsid w:val="5B66498C"/>
    <w:rsid w:val="5BA9534A"/>
    <w:rsid w:val="5BC037C4"/>
    <w:rsid w:val="5C0BC744"/>
    <w:rsid w:val="5C6DE5E2"/>
    <w:rsid w:val="5C928DF4"/>
    <w:rsid w:val="5E4FC223"/>
    <w:rsid w:val="5EE87206"/>
    <w:rsid w:val="5F9A24F8"/>
    <w:rsid w:val="600FF80F"/>
    <w:rsid w:val="6041A835"/>
    <w:rsid w:val="6053D20A"/>
    <w:rsid w:val="606AE4DD"/>
    <w:rsid w:val="60891B60"/>
    <w:rsid w:val="608D4FF3"/>
    <w:rsid w:val="6135F21F"/>
    <w:rsid w:val="6142CAC8"/>
    <w:rsid w:val="61E4E15D"/>
    <w:rsid w:val="63416992"/>
    <w:rsid w:val="63C6E639"/>
    <w:rsid w:val="63FD0273"/>
    <w:rsid w:val="644A9372"/>
    <w:rsid w:val="648F8B6B"/>
    <w:rsid w:val="6491B8CC"/>
    <w:rsid w:val="64BF03A7"/>
    <w:rsid w:val="669DB9B3"/>
    <w:rsid w:val="673A3CF3"/>
    <w:rsid w:val="676C5807"/>
    <w:rsid w:val="67EED015"/>
    <w:rsid w:val="6806B945"/>
    <w:rsid w:val="6861C650"/>
    <w:rsid w:val="68B48BD4"/>
    <w:rsid w:val="68C748B9"/>
    <w:rsid w:val="69E69713"/>
    <w:rsid w:val="6B77FF6B"/>
    <w:rsid w:val="6BAFB12A"/>
    <w:rsid w:val="6BFEE97B"/>
    <w:rsid w:val="6C261AE4"/>
    <w:rsid w:val="6C521D76"/>
    <w:rsid w:val="6C803E17"/>
    <w:rsid w:val="6C852C4E"/>
    <w:rsid w:val="6D25AD1C"/>
    <w:rsid w:val="6D666077"/>
    <w:rsid w:val="6D680204"/>
    <w:rsid w:val="6D9A2909"/>
    <w:rsid w:val="6DC1EB45"/>
    <w:rsid w:val="6E33C503"/>
    <w:rsid w:val="6E6CD619"/>
    <w:rsid w:val="6EBBFB9E"/>
    <w:rsid w:val="6EC17D7D"/>
    <w:rsid w:val="6EE67C23"/>
    <w:rsid w:val="6F04EBC9"/>
    <w:rsid w:val="6F6C72E1"/>
    <w:rsid w:val="700420E4"/>
    <w:rsid w:val="700DB69A"/>
    <w:rsid w:val="70A0CF00"/>
    <w:rsid w:val="711C6EFB"/>
    <w:rsid w:val="712B4D99"/>
    <w:rsid w:val="71A57435"/>
    <w:rsid w:val="71EDD9E9"/>
    <w:rsid w:val="72143C20"/>
    <w:rsid w:val="7247CE18"/>
    <w:rsid w:val="727F3B26"/>
    <w:rsid w:val="7334FC95"/>
    <w:rsid w:val="73539103"/>
    <w:rsid w:val="73CCF6DB"/>
    <w:rsid w:val="73F2D9C6"/>
    <w:rsid w:val="74336E9A"/>
    <w:rsid w:val="7434EA79"/>
    <w:rsid w:val="7462EE5B"/>
    <w:rsid w:val="74848511"/>
    <w:rsid w:val="74B210EF"/>
    <w:rsid w:val="74CBA4B1"/>
    <w:rsid w:val="74E0AB15"/>
    <w:rsid w:val="7569B0B0"/>
    <w:rsid w:val="75CDF853"/>
    <w:rsid w:val="75D32EF8"/>
    <w:rsid w:val="7629EC90"/>
    <w:rsid w:val="76896D3C"/>
    <w:rsid w:val="77061BB3"/>
    <w:rsid w:val="771D8B71"/>
    <w:rsid w:val="774E6D38"/>
    <w:rsid w:val="7769C8B4"/>
    <w:rsid w:val="77AF1880"/>
    <w:rsid w:val="77FE0404"/>
    <w:rsid w:val="7864C384"/>
    <w:rsid w:val="78A022E7"/>
    <w:rsid w:val="78AE2D70"/>
    <w:rsid w:val="78C44426"/>
    <w:rsid w:val="78D78E3C"/>
    <w:rsid w:val="7913D8C6"/>
    <w:rsid w:val="79CF3029"/>
    <w:rsid w:val="7A27E71A"/>
    <w:rsid w:val="7B24DA75"/>
    <w:rsid w:val="7B8A36E3"/>
    <w:rsid w:val="7BB00D0B"/>
    <w:rsid w:val="7BC608F9"/>
    <w:rsid w:val="7BCA3D8D"/>
    <w:rsid w:val="7C6590BA"/>
    <w:rsid w:val="7C659784"/>
    <w:rsid w:val="7C75193C"/>
    <w:rsid w:val="7C9C69EF"/>
    <w:rsid w:val="7CEAF384"/>
    <w:rsid w:val="7D15B27A"/>
    <w:rsid w:val="7D59C83B"/>
    <w:rsid w:val="7DD775B8"/>
    <w:rsid w:val="7DE08784"/>
    <w:rsid w:val="7DF52887"/>
    <w:rsid w:val="7E1880BF"/>
    <w:rsid w:val="7E4116B1"/>
    <w:rsid w:val="7E4AB1BA"/>
    <w:rsid w:val="7EE19C2C"/>
    <w:rsid w:val="7F150078"/>
    <w:rsid w:val="7FC89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26D6"/>
  <w15:chartTrackingRefBased/>
  <w15:docId w15:val="{21516FE0-729E-48EB-9F1A-4344A2A9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947540"/>
    <w:pPr>
      <w:keepNext/>
      <w:keepLines/>
      <w:spacing w:before="240" w:after="0" w:line="360" w:lineRule="auto"/>
      <w:jc w:val="both"/>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746DD"/>
    <w:pPr>
      <w:keepNext/>
      <w:keepLines/>
      <w:spacing w:before="40" w:after="0" w:line="360" w:lineRule="auto"/>
      <w:jc w:val="both"/>
      <w:outlineLvl w:val="1"/>
    </w:pPr>
    <w:rPr>
      <w:rFonts w:ascii="Times New Roman" w:hAnsi="Times New Roman" w:eastAsiaTheme="majorEastAsia" w:cstheme="majorBidi"/>
      <w:b/>
      <w:color w:val="000000" w:themeColor="text1"/>
      <w:kern w:val="0"/>
      <w:sz w:val="24"/>
      <w:szCs w:val="26"/>
      <w14:ligatures w14:val="none"/>
    </w:rPr>
  </w:style>
  <w:style w:type="paragraph" w:styleId="Heading3">
    <w:name w:val="heading 3"/>
    <w:basedOn w:val="Normal"/>
    <w:next w:val="Normal"/>
    <w:link w:val="Heading3Char"/>
    <w:uiPriority w:val="9"/>
    <w:unhideWhenUsed/>
    <w:qFormat/>
    <w:rsid w:val="00C33990"/>
    <w:pPr>
      <w:keepNext/>
      <w:keepLines/>
      <w:spacing w:before="40" w:after="0" w:line="360" w:lineRule="auto"/>
      <w:jc w:val="both"/>
      <w:outlineLvl w:val="2"/>
    </w:pPr>
    <w:rPr>
      <w:rFonts w:ascii="Times New Roman" w:hAnsi="Times New Roman" w:eastAsiaTheme="majorEastAsia" w:cstheme="majorBidi"/>
      <w:b/>
      <w:i/>
      <w:color w:val="000000" w:themeColor="text1"/>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7540"/>
    <w:rPr>
      <w:rFonts w:ascii="Times New Roman" w:hAnsi="Times New Roman" w:eastAsiaTheme="majorEastAsia" w:cstheme="majorBidi"/>
      <w:b/>
      <w:color w:val="000000" w:themeColor="text1"/>
      <w:sz w:val="24"/>
      <w:szCs w:val="32"/>
      <w:lang w:val="en-US"/>
    </w:rPr>
  </w:style>
  <w:style w:type="character" w:styleId="Heading2Char" w:customStyle="1">
    <w:name w:val="Heading 2 Char"/>
    <w:basedOn w:val="DefaultParagraphFont"/>
    <w:link w:val="Heading2"/>
    <w:uiPriority w:val="9"/>
    <w:rsid w:val="002746DD"/>
    <w:rPr>
      <w:rFonts w:ascii="Times New Roman" w:hAnsi="Times New Roman" w:eastAsiaTheme="majorEastAsia" w:cstheme="majorBidi"/>
      <w:b/>
      <w:color w:val="000000" w:themeColor="text1"/>
      <w:kern w:val="0"/>
      <w:sz w:val="24"/>
      <w:szCs w:val="26"/>
      <w:lang w:val="en-US"/>
      <w14:ligatures w14:val="none"/>
    </w:rPr>
  </w:style>
  <w:style w:type="character" w:styleId="Heading3Char" w:customStyle="1">
    <w:name w:val="Heading 3 Char"/>
    <w:basedOn w:val="DefaultParagraphFont"/>
    <w:link w:val="Heading3"/>
    <w:uiPriority w:val="9"/>
    <w:rsid w:val="00C33990"/>
    <w:rPr>
      <w:rFonts w:ascii="Times New Roman" w:hAnsi="Times New Roman" w:eastAsiaTheme="majorEastAsia" w:cstheme="majorBidi"/>
      <w:b/>
      <w:i/>
      <w:color w:val="000000" w:themeColor="text1"/>
      <w:sz w:val="24"/>
      <w:szCs w:val="24"/>
      <w:lang w:val="en-US"/>
    </w:rPr>
  </w:style>
  <w:style w:type="paragraph" w:styleId="Tables" w:customStyle="1">
    <w:name w:val="Tables"/>
    <w:basedOn w:val="Caption"/>
    <w:next w:val="Caption"/>
    <w:qFormat/>
    <w:rsid w:val="00CB7456"/>
    <w:pPr>
      <w:jc w:val="both"/>
    </w:pPr>
    <w:rPr>
      <w:rFonts w:ascii="Times New Roman" w:hAnsi="Times New Roman" w:cs="Times New Roman"/>
      <w:i w:val="0"/>
      <w:color w:val="000000" w:themeColor="text1"/>
      <w:sz w:val="24"/>
      <w:szCs w:val="24"/>
    </w:rPr>
  </w:style>
  <w:style w:type="paragraph" w:styleId="Caption">
    <w:name w:val="caption"/>
    <w:basedOn w:val="Normal"/>
    <w:next w:val="Normal"/>
    <w:uiPriority w:val="35"/>
    <w:semiHidden/>
    <w:unhideWhenUsed/>
    <w:qFormat/>
    <w:rsid w:val="00CB7456"/>
    <w:pPr>
      <w:spacing w:after="200" w:line="240" w:lineRule="auto"/>
    </w:pPr>
    <w:rPr>
      <w:i/>
      <w:iCs/>
      <w:color w:val="44546A" w:themeColor="text2"/>
      <w:sz w:val="18"/>
      <w:szCs w:val="18"/>
    </w:rPr>
  </w:style>
  <w:style w:type="paragraph" w:styleId="Figures" w:customStyle="1">
    <w:name w:val="Figures"/>
    <w:basedOn w:val="Caption"/>
    <w:next w:val="Caption"/>
    <w:qFormat/>
    <w:rsid w:val="002746DD"/>
    <w:pPr>
      <w:spacing w:line="360" w:lineRule="auto"/>
      <w:jc w:val="both"/>
    </w:pPr>
    <w:rPr>
      <w:rFonts w:ascii="Times New Roman" w:hAnsi="Times New Roman"/>
      <w:b/>
      <w:i w:val="0"/>
      <w:color w:val="000000" w:themeColor="text1"/>
      <w:kern w:val="0"/>
      <w:sz w:val="24"/>
      <w14:ligatures w14:val="none"/>
    </w:rPr>
  </w:style>
  <w:style w:type="paragraph" w:styleId="Figure" w:customStyle="1">
    <w:name w:val="Figure"/>
    <w:basedOn w:val="Caption"/>
    <w:next w:val="Caption"/>
    <w:qFormat/>
    <w:rsid w:val="002746DD"/>
    <w:pPr>
      <w:jc w:val="both"/>
    </w:pPr>
    <w:rPr>
      <w:rFonts w:ascii="Times New Roman" w:hAnsi="Times New Roman"/>
      <w:noProof/>
      <w:color w:val="000000" w:themeColor="text1"/>
      <w:kern w:val="0"/>
      <w:sz w:val="24"/>
      <w14:ligatures w14:val="none"/>
    </w:rPr>
  </w:style>
  <w:style w:type="paragraph" w:styleId="Chart" w:customStyle="1">
    <w:name w:val="Chart"/>
    <w:basedOn w:val="Caption"/>
    <w:next w:val="Bibliography"/>
    <w:qFormat/>
    <w:rsid w:val="002746DD"/>
    <w:pPr>
      <w:jc w:val="both"/>
    </w:pPr>
    <w:rPr>
      <w:rFonts w:ascii="Times New Roman" w:hAnsi="Times New Roman" w:cs="Times New Roman"/>
      <w:i w:val="0"/>
      <w:noProof/>
      <w:color w:val="000000" w:themeColor="text1"/>
      <w:kern w:val="0"/>
      <w:sz w:val="24"/>
      <w:szCs w:val="24"/>
      <w14:ligatures w14:val="none"/>
    </w:rPr>
  </w:style>
  <w:style w:type="paragraph" w:styleId="Bibliography">
    <w:name w:val="Bibliography"/>
    <w:basedOn w:val="Normal"/>
    <w:next w:val="Normal"/>
    <w:uiPriority w:val="37"/>
    <w:semiHidden/>
    <w:unhideWhenUsed/>
    <w:rsid w:val="002746DD"/>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205BD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05BD5"/>
    <w:rPr>
      <w:lang w:val="en-GB"/>
    </w:rPr>
  </w:style>
  <w:style w:type="paragraph" w:styleId="Footer">
    <w:name w:val="footer"/>
    <w:basedOn w:val="Normal"/>
    <w:link w:val="FooterChar"/>
    <w:uiPriority w:val="99"/>
    <w:semiHidden/>
    <w:unhideWhenUsed/>
    <w:rsid w:val="00205BD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05BD5"/>
    <w:rPr>
      <w:lang w:val="en-GB"/>
    </w:rPr>
  </w:style>
  <w:style w:type="paragraph" w:styleId="BalloonText">
    <w:name w:val="Balloon Text"/>
    <w:basedOn w:val="Normal"/>
    <w:link w:val="BalloonTextChar"/>
    <w:uiPriority w:val="99"/>
    <w:semiHidden/>
    <w:unhideWhenUsed/>
    <w:rsid w:val="0074631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631D"/>
    <w:rPr>
      <w:rFonts w:ascii="Segoe UI" w:hAnsi="Segoe UI" w:cs="Segoe UI"/>
      <w:sz w:val="18"/>
      <w:szCs w:val="18"/>
      <w:lang w:val="en-GB"/>
    </w:rPr>
  </w:style>
  <w:style w:type="character" w:styleId="UnresolvedMention">
    <w:name w:val="Unresolved Mention"/>
    <w:basedOn w:val="DefaultParagraphFont"/>
    <w:uiPriority w:val="99"/>
    <w:semiHidden/>
    <w:unhideWhenUsed/>
    <w:rsid w:val="00874205"/>
    <w:rPr>
      <w:color w:val="605E5C"/>
      <w:shd w:val="clear" w:color="auto" w:fill="E1DFDD"/>
    </w:rPr>
  </w:style>
  <w:style w:type="character" w:styleId="FollowedHyperlink">
    <w:name w:val="FollowedHyperlink"/>
    <w:basedOn w:val="DefaultParagraphFont"/>
    <w:uiPriority w:val="99"/>
    <w:semiHidden/>
    <w:unhideWhenUsed/>
    <w:rsid w:val="00F10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frodad.org/wp-content/uploads/2021/11/Nexus-between-Debt-tax-and-inequality-1.pdf" TargetMode="External"/><Relationship Id="rId18" Type="http://schemas.openxmlformats.org/officeDocument/2006/relationships/hyperlink" Target="https://repository.uneca.org/bitstream/handle/10855/22695/b11524868.pdf?sequence=3&amp;isAllowed=y" TargetMode="External"/><Relationship Id="rId26" Type="http://schemas.openxmlformats.org/officeDocument/2006/relationships/hyperlink" Target="https://www.bing.com/ck/a?!&amp;&amp;p=4cadad5a56735413JmltdHM9MTcwNTI3NjgwMCZpZ3VpZD0yZmMyYjJjYy03OWIwLTY0NzktMDY1Mi1hMTIxNzgwNTY1OWMmaW5zaWQ9NTE4MA&amp;ptn=3&amp;ver=2&amp;hsh=3&amp;fclid=2fc2b2cc-79b0-6479-0652-a1217805659c&amp;psq=african+borrowing+charter+.pdf&amp;u=a1aHR0cHM6Ly9hZnJvZGFkLm9yZy93cC1jb250ZW50L3VwbG9hZHMvMjAyMS8wNC9UaGUtQWZyaWNhbi1Cb3Jyb3dpbmctQ2hhcnRlci1FbmdsaXNoLnBkZg&amp;ntb=1" TargetMode="External"/><Relationship Id="rId3" Type="http://schemas.openxmlformats.org/officeDocument/2006/relationships/styles" Target="styles.xml"/><Relationship Id="rId21" Type="http://schemas.openxmlformats.org/officeDocument/2006/relationships/hyperlink" Target="https://www.afdb.org/en/documents/gender-poverty-and-environmental-indicators-african-countries-2023" TargetMode="External"/><Relationship Id="rId7" Type="http://schemas.openxmlformats.org/officeDocument/2006/relationships/endnotes" Target="endnotes.xml"/><Relationship Id="rId12" Type="http://schemas.openxmlformats.org/officeDocument/2006/relationships/hyperlink" Target="https://www.tandfonline.com/doi/full/10.1080/09638199.2023.2274854" TargetMode="External"/><Relationship Id="rId17" Type="http://schemas.openxmlformats.org/officeDocument/2006/relationships/hyperlink" Target="https://afrodad.org/wp-content/uploads/2021/04/IFFS-in-Africa_-Trends-and-Patterns.pdf" TargetMode="External"/><Relationship Id="rId25" Type="http://schemas.openxmlformats.org/officeDocument/2006/relationships/hyperlink" Target="https://www.google.com/url?sa=t&amp;rct=j&amp;q=&amp;esrc=s&amp;source=web&amp;cd=&amp;cad=rja&amp;uact=8&amp;ved=2ahUKEwjNn7HSquGDAxWMWUEAHT8tC38QFnoECBQQAQ&amp;url=https%3A%2F%2Fafrodad.org%2Fwp-content%2Fuploads%2F2021%2F09%2FThe-Harare-Declaration-2021.pdf&amp;usg=AOvVaw1bnIBB9VI5iYB2P5bR9dxw&amp;opi=89978449" TargetMode="External"/><Relationship Id="rId2" Type="http://schemas.openxmlformats.org/officeDocument/2006/relationships/numbering" Target="numbering.xml"/><Relationship Id="rId16" Type="http://schemas.openxmlformats.org/officeDocument/2006/relationships/hyperlink" Target="https://www.afdb.org/sites/default/files/documents/publications/wps_no_353_inequality_and_the_role_of_macroeconomic_and_institutional_forces_in_africa_f.pdf" TargetMode="External"/><Relationship Id="rId20" Type="http://schemas.openxmlformats.org/officeDocument/2006/relationships/hyperlink" Target="https://www.afdb.org/en/documents/gender-poverty-and-environmental-indicators-african-countries-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09638199.2023.2274854" TargetMode="External"/><Relationship Id="rId24" Type="http://schemas.openxmlformats.org/officeDocument/2006/relationships/hyperlink" Target="https://blogs.worldbank.org/opendata/number-poor-people-continues-rise-sub-saharan-africa-despite-slow-decline-poverty-rate" TargetMode="External"/><Relationship Id="rId5" Type="http://schemas.openxmlformats.org/officeDocument/2006/relationships/webSettings" Target="webSettings.xml"/><Relationship Id="rId15" Type="http://schemas.openxmlformats.org/officeDocument/2006/relationships/hyperlink" Target="https://www.afdb.org/en/documents/document/african-development-report-2015-growth-poverty-and-inequality-nexus-overcoming-barriers-to-sustainable-development-89715" TargetMode="External"/><Relationship Id="rId23" Type="http://schemas.openxmlformats.org/officeDocument/2006/relationships/hyperlink" Target="https://moderndiplomacy.eu/2023/07/12/africas-external-debt-hits-1-13-trillion-on-expensive-loans/" TargetMode="External"/><Relationship Id="rId28" Type="http://schemas.openxmlformats.org/officeDocument/2006/relationships/theme" Target="theme/theme1.xml"/><Relationship Id="rId10" Type="http://schemas.openxmlformats.org/officeDocument/2006/relationships/hyperlink" Target="https://databank.worldbank.org/metadataglossary/gender-statistics/series/SI.POV.GINI" TargetMode="External"/><Relationship Id="rId19" Type="http://schemas.openxmlformats.org/officeDocument/2006/relationships/hyperlink" Target="https://afrodad.org/portfolio/unpacking-the-linkage-between-debt-extractives-sector-inequality-and-illicit-financial-flows-a-case-study-from-zimbabwe/" TargetMode="External"/><Relationship Id="rId4" Type="http://schemas.openxmlformats.org/officeDocument/2006/relationships/settings" Target="settings.xml"/><Relationship Id="rId9" Type="http://schemas.openxmlformats.org/officeDocument/2006/relationships/hyperlink" Target="https://data.worldbank.org/indicator/SI.POV.GINI?locations=ZF&amp;start=2000" TargetMode="External"/><Relationship Id="rId14" Type="http://schemas.openxmlformats.org/officeDocument/2006/relationships/hyperlink" Target="https://afrodad.org/wp-content/uploads/2021/11/Nexus-between-Debt-tax-and-inequality-1.pdf" TargetMode="External"/><Relationship Id="rId22" Type="http://schemas.openxmlformats.org/officeDocument/2006/relationships/hyperlink" Target="https://www.datapandas.org/ranking/gini-coefficient-by-count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6FF3-BB74-4213-AB50-3AA3DBC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Nazir</dc:creator>
  <cp:keywords/>
  <dc:description/>
  <cp:lastModifiedBy>Howard</cp:lastModifiedBy>
  <cp:revision>3</cp:revision>
  <dcterms:created xsi:type="dcterms:W3CDTF">2024-01-16T06:37:00Z</dcterms:created>
  <dcterms:modified xsi:type="dcterms:W3CDTF">2024-01-16T07:00:00Z</dcterms:modified>
</cp:coreProperties>
</file>